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92FAD" w14:textId="77777777" w:rsidR="000D1CFD" w:rsidRPr="00AB0151" w:rsidRDefault="000D1CFD" w:rsidP="000D1CFD">
      <w:pPr>
        <w:spacing w:line="240" w:lineRule="auto"/>
        <w:ind w:firstLine="0"/>
        <w:jc w:val="center"/>
        <w:rPr>
          <w:b/>
        </w:rPr>
      </w:pPr>
      <w:r w:rsidRPr="00AB0151">
        <w:rPr>
          <w:b/>
        </w:rPr>
        <w:t>SOAH DOCKET NO. 473-22-04394</w:t>
      </w:r>
    </w:p>
    <w:p w14:paraId="00276F1F" w14:textId="55B97223" w:rsidR="00970B99" w:rsidRPr="00AB0151" w:rsidRDefault="00970B99" w:rsidP="00E83832">
      <w:pPr>
        <w:spacing w:line="240" w:lineRule="auto"/>
        <w:ind w:firstLine="0"/>
        <w:jc w:val="center"/>
        <w:rPr>
          <w:b/>
        </w:rPr>
      </w:pPr>
      <w:r w:rsidRPr="00AB0151">
        <w:rPr>
          <w:b/>
        </w:rPr>
        <w:t xml:space="preserve">P.U.C. DOCKET NO. </w:t>
      </w:r>
      <w:r w:rsidR="00760ACE" w:rsidRPr="00AB0151">
        <w:rPr>
          <w:b/>
        </w:rPr>
        <w:t>53719</w:t>
      </w:r>
    </w:p>
    <w:p w14:paraId="1B1EC85F" w14:textId="77777777" w:rsidR="00E83832" w:rsidRPr="00AB0151" w:rsidRDefault="00E83832" w:rsidP="007B4BD6">
      <w:pPr>
        <w:spacing w:line="240" w:lineRule="auto"/>
        <w:ind w:firstLine="0"/>
        <w:jc w:val="center"/>
        <w:rPr>
          <w:b/>
        </w:rPr>
      </w:pPr>
    </w:p>
    <w:p w14:paraId="786993B3" w14:textId="77777777" w:rsidR="00970B99" w:rsidRPr="00AB0151" w:rsidRDefault="00970B99" w:rsidP="00970B99">
      <w:pPr>
        <w:spacing w:line="240" w:lineRule="auto"/>
        <w:ind w:firstLine="0"/>
        <w:rPr>
          <w:b/>
        </w:rPr>
      </w:pPr>
    </w:p>
    <w:p w14:paraId="7CA34C76" w14:textId="49B32399" w:rsidR="007B4BD6" w:rsidRPr="00AB0151" w:rsidRDefault="007B4BD6" w:rsidP="00970B99">
      <w:pPr>
        <w:spacing w:line="240" w:lineRule="auto"/>
        <w:ind w:firstLine="0"/>
        <w:rPr>
          <w:b/>
          <w:w w:val="105"/>
        </w:rPr>
        <w:sectPr w:rsidR="007B4BD6" w:rsidRPr="00AB0151" w:rsidSect="00DF1584">
          <w:footerReference w:type="even" r:id="rId8"/>
          <w:footerReference w:type="default" r:id="rId9"/>
          <w:pgSz w:w="12240" w:h="15840"/>
          <w:pgMar w:top="1440" w:right="1440" w:bottom="1440" w:left="1440" w:header="720" w:footer="720" w:gutter="0"/>
          <w:cols w:space="720"/>
          <w:docGrid w:linePitch="360"/>
        </w:sectPr>
      </w:pPr>
    </w:p>
    <w:p w14:paraId="355E73EC" w14:textId="51456782" w:rsidR="00970B99" w:rsidRPr="00AB0151" w:rsidRDefault="00970B99" w:rsidP="007B4BD6">
      <w:pPr>
        <w:spacing w:line="240" w:lineRule="auto"/>
        <w:ind w:firstLine="0"/>
        <w:rPr>
          <w:b/>
          <w:w w:val="105"/>
        </w:rPr>
      </w:pPr>
      <w:r w:rsidRPr="00AB0151">
        <w:rPr>
          <w:b/>
          <w:w w:val="105"/>
        </w:rPr>
        <w:t>APPLICATION</w:t>
      </w:r>
      <w:r w:rsidRPr="00AB0151">
        <w:rPr>
          <w:b/>
          <w:spacing w:val="40"/>
          <w:w w:val="105"/>
        </w:rPr>
        <w:t xml:space="preserve"> </w:t>
      </w:r>
      <w:r w:rsidRPr="00AB0151">
        <w:rPr>
          <w:b/>
          <w:w w:val="105"/>
        </w:rPr>
        <w:t>OF ENTERGY</w:t>
      </w:r>
    </w:p>
    <w:p w14:paraId="5C32C568" w14:textId="77777777" w:rsidR="00970B99" w:rsidRPr="00AB0151" w:rsidRDefault="00970B99" w:rsidP="007B4BD6">
      <w:pPr>
        <w:spacing w:line="240" w:lineRule="auto"/>
        <w:ind w:firstLine="0"/>
        <w:rPr>
          <w:b/>
          <w:w w:val="105"/>
        </w:rPr>
      </w:pPr>
      <w:r w:rsidRPr="00AB0151">
        <w:rPr>
          <w:b/>
          <w:w w:val="105"/>
        </w:rPr>
        <w:t>TEXAS,</w:t>
      </w:r>
      <w:r w:rsidRPr="00AB0151">
        <w:rPr>
          <w:b/>
          <w:spacing w:val="-12"/>
          <w:w w:val="105"/>
        </w:rPr>
        <w:t xml:space="preserve"> </w:t>
      </w:r>
      <w:r w:rsidRPr="00AB0151">
        <w:rPr>
          <w:b/>
          <w:w w:val="105"/>
        </w:rPr>
        <w:t>INC.</w:t>
      </w:r>
      <w:r w:rsidRPr="00AB0151">
        <w:rPr>
          <w:b/>
          <w:spacing w:val="-15"/>
          <w:w w:val="105"/>
        </w:rPr>
        <w:t xml:space="preserve"> </w:t>
      </w:r>
      <w:r w:rsidRPr="00AB0151">
        <w:rPr>
          <w:b/>
          <w:w w:val="105"/>
        </w:rPr>
        <w:t>FOR</w:t>
      </w:r>
      <w:r w:rsidRPr="00AB0151">
        <w:rPr>
          <w:b/>
          <w:spacing w:val="-15"/>
          <w:w w:val="105"/>
        </w:rPr>
        <w:t xml:space="preserve"> </w:t>
      </w:r>
      <w:r w:rsidRPr="00AB0151">
        <w:rPr>
          <w:b/>
          <w:w w:val="105"/>
        </w:rPr>
        <w:t xml:space="preserve">AUTHORITY </w:t>
      </w:r>
    </w:p>
    <w:p w14:paraId="7D089C8D" w14:textId="6E4749BD" w:rsidR="00970B99" w:rsidRPr="00AB0151" w:rsidRDefault="00970B99" w:rsidP="00970B99">
      <w:pPr>
        <w:spacing w:line="240" w:lineRule="auto"/>
        <w:ind w:firstLine="0"/>
        <w:rPr>
          <w:b/>
          <w:w w:val="105"/>
        </w:rPr>
      </w:pPr>
      <w:r w:rsidRPr="00AB0151">
        <w:rPr>
          <w:b/>
          <w:w w:val="105"/>
        </w:rPr>
        <w:t>TO CHANGE RATES</w:t>
      </w:r>
    </w:p>
    <w:p w14:paraId="6A26CED2" w14:textId="3588BCEB" w:rsidR="00970B99" w:rsidRPr="00AB0151" w:rsidRDefault="00970B99" w:rsidP="00660117">
      <w:pPr>
        <w:spacing w:line="240" w:lineRule="auto"/>
        <w:ind w:left="720" w:hanging="1080"/>
        <w:rPr>
          <w:b/>
          <w:bCs/>
        </w:rPr>
      </w:pPr>
      <w:r w:rsidRPr="00AB0151">
        <w:rPr>
          <w:b/>
          <w:bCs/>
        </w:rPr>
        <w:t>§</w:t>
      </w:r>
      <w:r w:rsidRPr="00AB0151">
        <w:tab/>
      </w:r>
      <w:r w:rsidRPr="00AB0151">
        <w:rPr>
          <w:b/>
          <w:bCs/>
        </w:rPr>
        <w:t>BEFORE THE STATE OFFICE</w:t>
      </w:r>
    </w:p>
    <w:p w14:paraId="59C4436F" w14:textId="7CE27852" w:rsidR="00970B99" w:rsidRPr="00AB0151" w:rsidRDefault="00970B99" w:rsidP="00660117">
      <w:pPr>
        <w:spacing w:line="240" w:lineRule="auto"/>
        <w:ind w:left="-360" w:firstLine="0"/>
        <w:rPr>
          <w:b/>
          <w:bCs/>
        </w:rPr>
      </w:pPr>
      <w:r w:rsidRPr="00AB0151">
        <w:rPr>
          <w:b/>
          <w:bCs/>
        </w:rPr>
        <w:t>§</w:t>
      </w:r>
      <w:r w:rsidRPr="00AB0151">
        <w:rPr>
          <w:b/>
          <w:bCs/>
        </w:rPr>
        <w:tab/>
      </w:r>
      <w:r w:rsidRPr="00AB0151">
        <w:rPr>
          <w:b/>
          <w:bCs/>
        </w:rPr>
        <w:tab/>
      </w:r>
      <w:r w:rsidRPr="00AB0151">
        <w:rPr>
          <w:b/>
          <w:bCs/>
        </w:rPr>
        <w:tab/>
      </w:r>
      <w:r w:rsidR="00660117" w:rsidRPr="00AB0151">
        <w:rPr>
          <w:b/>
          <w:bCs/>
        </w:rPr>
        <w:t xml:space="preserve">            </w:t>
      </w:r>
      <w:r w:rsidRPr="00AB0151">
        <w:rPr>
          <w:b/>
          <w:bCs/>
        </w:rPr>
        <w:t>OF</w:t>
      </w:r>
    </w:p>
    <w:p w14:paraId="1FB93E69" w14:textId="5973FCE2" w:rsidR="00970B99" w:rsidRPr="00AB0151" w:rsidRDefault="00970B99" w:rsidP="00660117">
      <w:pPr>
        <w:spacing w:line="240" w:lineRule="auto"/>
        <w:ind w:left="720" w:hanging="1080"/>
        <w:rPr>
          <w:b/>
          <w:bCs/>
        </w:rPr>
        <w:sectPr w:rsidR="00970B99" w:rsidRPr="00AB0151" w:rsidSect="007B4BD6">
          <w:type w:val="continuous"/>
          <w:pgSz w:w="12240" w:h="15840"/>
          <w:pgMar w:top="1440" w:right="1440" w:bottom="1440" w:left="1440" w:header="720" w:footer="720" w:gutter="0"/>
          <w:cols w:num="2" w:space="720"/>
          <w:docGrid w:linePitch="360"/>
        </w:sectPr>
      </w:pPr>
      <w:r w:rsidRPr="00AB0151">
        <w:rPr>
          <w:b/>
          <w:bCs/>
        </w:rPr>
        <w:t>§</w:t>
      </w:r>
      <w:r w:rsidRPr="00AB0151">
        <w:rPr>
          <w:b/>
          <w:bCs/>
        </w:rPr>
        <w:tab/>
        <w:t>ADMINISTRATIVE HEARING</w:t>
      </w:r>
    </w:p>
    <w:p w14:paraId="4B061803" w14:textId="77777777" w:rsidR="00970B99" w:rsidRPr="00AB0151" w:rsidRDefault="00970B99" w:rsidP="007B4BD6">
      <w:pPr>
        <w:spacing w:line="240" w:lineRule="auto"/>
        <w:ind w:firstLine="0"/>
        <w:rPr>
          <w:b/>
          <w:bCs/>
          <w:w w:val="105"/>
        </w:rPr>
      </w:pPr>
    </w:p>
    <w:p w14:paraId="4F8C06CE" w14:textId="549A9FC9" w:rsidR="007B4BD6" w:rsidRPr="00AB0151" w:rsidRDefault="007B4BD6" w:rsidP="00E83832">
      <w:pPr>
        <w:spacing w:line="240" w:lineRule="auto"/>
        <w:ind w:firstLine="0"/>
        <w:jc w:val="center"/>
        <w:rPr>
          <w:b/>
          <w:bCs/>
        </w:rPr>
      </w:pPr>
    </w:p>
    <w:p w14:paraId="7C9D88FC" w14:textId="5A17928A" w:rsidR="00FA49A1" w:rsidRDefault="00FA49A1" w:rsidP="00BF095C">
      <w:pPr>
        <w:spacing w:line="240" w:lineRule="auto"/>
        <w:ind w:firstLine="0"/>
        <w:jc w:val="center"/>
        <w:rPr>
          <w:b/>
        </w:rPr>
      </w:pPr>
      <w:r>
        <w:rPr>
          <w:b/>
        </w:rPr>
        <w:t xml:space="preserve">CHARGEPOINT, INC’S REPLY TO </w:t>
      </w:r>
    </w:p>
    <w:p w14:paraId="429D18F1" w14:textId="77777777" w:rsidR="00FA49A1" w:rsidRPr="00273B7E" w:rsidRDefault="00FA49A1" w:rsidP="00BF095C">
      <w:pPr>
        <w:spacing w:line="240" w:lineRule="auto"/>
        <w:ind w:firstLine="0"/>
        <w:jc w:val="center"/>
        <w:rPr>
          <w:b/>
        </w:rPr>
      </w:pPr>
      <w:r>
        <w:rPr>
          <w:b/>
        </w:rPr>
        <w:t xml:space="preserve">ENTERGY TEXAS’ OBJECTION </w:t>
      </w:r>
    </w:p>
    <w:p w14:paraId="1FD2B6E3" w14:textId="77777777" w:rsidR="00FA49A1" w:rsidRDefault="00FA49A1" w:rsidP="00FA49A1"/>
    <w:p w14:paraId="71BED411" w14:textId="61900299" w:rsidR="00FA49A1" w:rsidRDefault="00FA49A1" w:rsidP="000F7725">
      <w:pPr>
        <w:jc w:val="both"/>
      </w:pPr>
      <w:r>
        <w:t xml:space="preserve">ChargePoint, Inc. (ChargePoint) </w:t>
      </w:r>
      <w:r w:rsidRPr="007C2782">
        <w:t>respectfully submit</w:t>
      </w:r>
      <w:r>
        <w:t>s</w:t>
      </w:r>
      <w:r w:rsidRPr="007C2782">
        <w:t xml:space="preserve"> </w:t>
      </w:r>
      <w:r>
        <w:t>this reply in support of ChargePoint’s</w:t>
      </w:r>
      <w:r w:rsidRPr="007C2782">
        <w:t xml:space="preserve"> </w:t>
      </w:r>
      <w:r>
        <w:t>Motion for Leave to Intervene out of Time (Motion) for the purpose of replying to Entergy Texas, Inc.’s (ETI) Objection.</w:t>
      </w:r>
      <w:r>
        <w:rPr>
          <w:rStyle w:val="FootnoteReference"/>
        </w:rPr>
        <w:footnoteReference w:id="1"/>
      </w:r>
      <w:r>
        <w:t xml:space="preserve"> Pursuant to 16 TAC § 22.78(a) of the Texas Public Utility Commission’s (Commission) Rules, a responsive pleading is due within </w:t>
      </w:r>
      <w:r w:rsidR="001C4CC5">
        <w:t>“</w:t>
      </w:r>
      <w:r>
        <w:t>five working days after receipt of the pleading to which the response is made.</w:t>
      </w:r>
      <w:r w:rsidR="001C4CC5">
        <w:t>”</w:t>
      </w:r>
      <w:r>
        <w:t xml:space="preserve"> ETI filed its objection on September 9, 2022; thus, ChargePoint’s response is timely filed. </w:t>
      </w:r>
    </w:p>
    <w:p w14:paraId="40DA7375" w14:textId="77777777" w:rsidR="00FA49A1" w:rsidRPr="001E3899" w:rsidRDefault="00FA49A1" w:rsidP="000F7725">
      <w:pPr>
        <w:pStyle w:val="Heading1"/>
        <w:numPr>
          <w:ilvl w:val="0"/>
          <w:numId w:val="6"/>
        </w:numPr>
        <w:ind w:left="1440" w:hanging="720"/>
        <w:jc w:val="both"/>
      </w:pPr>
      <w:r>
        <w:t>Argument</w:t>
      </w:r>
    </w:p>
    <w:p w14:paraId="178C1CE8" w14:textId="77777777" w:rsidR="00FA49A1" w:rsidRDefault="00FA49A1" w:rsidP="000F7725">
      <w:pPr>
        <w:pStyle w:val="Heading2"/>
        <w:ind w:left="1440" w:firstLine="0"/>
        <w:jc w:val="both"/>
      </w:pPr>
      <w:r>
        <w:t>ChargePoint has a clear justiciable interest in this proceeding.</w:t>
      </w:r>
    </w:p>
    <w:p w14:paraId="5C66511E" w14:textId="2EAE909B" w:rsidR="00FA49A1" w:rsidRPr="003E1680" w:rsidRDefault="00FA49A1" w:rsidP="000F7725">
      <w:pPr>
        <w:jc w:val="both"/>
      </w:pPr>
      <w:r>
        <w:t>ChargePoint’s Motion made clear that it has a justiciable interest which may be adversely affected by the outcome of the proceeding</w:t>
      </w:r>
      <w:r w:rsidR="00354E3C">
        <w:t xml:space="preserve"> as required under </w:t>
      </w:r>
      <w:r w:rsidR="00354E3C" w:rsidRPr="00354E3C">
        <w:t>16 TAC § 22.103(b).</w:t>
      </w:r>
      <w:r>
        <w:t xml:space="preserve"> As explained, “ChargePoint would be directly impacted by Entergy</w:t>
      </w:r>
      <w:r w:rsidR="001C4CC5">
        <w:t>’</w:t>
      </w:r>
      <w:r>
        <w:t>s proposed Transportation Electrification and Charging Infrastructure (TECI) Rider and Transportation Electrification and Charging Demand Adjustment (TECDA) Rider.”</w:t>
      </w:r>
      <w:r>
        <w:rPr>
          <w:rStyle w:val="FootnoteReference"/>
        </w:rPr>
        <w:footnoteReference w:id="2"/>
      </w:r>
      <w:r>
        <w:t xml:space="preserve"> </w:t>
      </w:r>
      <w:r w:rsidR="00994747">
        <w:t xml:space="preserve"> </w:t>
      </w:r>
      <w:r>
        <w:t>ChargePoint</w:t>
      </w:r>
      <w:r w:rsidR="00643399">
        <w:t xml:space="preserve"> </w:t>
      </w:r>
      <w:r>
        <w:t>seeks interven</w:t>
      </w:r>
      <w:r w:rsidR="00643399">
        <w:t>tion</w:t>
      </w:r>
      <w:r>
        <w:t xml:space="preserve"> to address Riders TECI </w:t>
      </w:r>
      <w:r>
        <w:lastRenderedPageBreak/>
        <w:t xml:space="preserve">and TECDA, which implicate issues 67, 68, and 69 </w:t>
      </w:r>
      <w:r w:rsidRPr="00400506">
        <w:t>raised in the Commission's Preliminary Order dated August 4,</w:t>
      </w:r>
      <w:r>
        <w:t xml:space="preserve"> </w:t>
      </w:r>
      <w:r w:rsidRPr="00400506">
        <w:t>2022</w:t>
      </w:r>
      <w:r>
        <w:t>, as shown below:</w:t>
      </w:r>
    </w:p>
    <w:p w14:paraId="5C42C8BC" w14:textId="77777777" w:rsidR="00FA49A1" w:rsidRPr="003E1680" w:rsidRDefault="00FA49A1" w:rsidP="00FA49A1">
      <w:pPr>
        <w:spacing w:line="240" w:lineRule="auto"/>
        <w:ind w:left="720" w:firstLine="0"/>
      </w:pPr>
      <w:r w:rsidRPr="003E1680">
        <w:t xml:space="preserve">67. Has Entergy proposed any rate riders? If so, should any of the proposed riders be adopted? If so, what are the appropriate costs to be recovered through the riders, and what are the appropriate terms and conditions of the riders? </w:t>
      </w:r>
    </w:p>
    <w:p w14:paraId="091BB02A" w14:textId="77777777" w:rsidR="00FA49A1" w:rsidRPr="003E1680" w:rsidRDefault="00FA49A1" w:rsidP="00FA49A1">
      <w:pPr>
        <w:spacing w:line="240" w:lineRule="auto"/>
      </w:pPr>
    </w:p>
    <w:p w14:paraId="0641E2E6" w14:textId="52429C7F" w:rsidR="00FA49A1" w:rsidRPr="003E1680" w:rsidRDefault="00FA49A1" w:rsidP="00FA49A1">
      <w:pPr>
        <w:spacing w:line="240" w:lineRule="auto"/>
        <w:ind w:left="720" w:firstLine="0"/>
      </w:pPr>
      <w:r w:rsidRPr="003E1680">
        <w:t xml:space="preserve">68. Is it appropriate for an electric utility in a vertically integrated area to own </w:t>
      </w:r>
      <w:r w:rsidR="004E3272" w:rsidRPr="003E1680">
        <w:t>vehicle charging</w:t>
      </w:r>
      <w:r w:rsidRPr="003E1680">
        <w:t xml:space="preserve"> facilities or other transportation electrification and charging infrastructure, or should the ownership of such facilities be left to competitive providers? </w:t>
      </w:r>
    </w:p>
    <w:p w14:paraId="28AA4867" w14:textId="77777777" w:rsidR="00FA49A1" w:rsidRPr="003E1680" w:rsidRDefault="00FA49A1" w:rsidP="00FA49A1">
      <w:pPr>
        <w:spacing w:line="240" w:lineRule="auto"/>
      </w:pPr>
    </w:p>
    <w:p w14:paraId="27A86FC3" w14:textId="77777777" w:rsidR="00FA49A1" w:rsidRDefault="00FA49A1" w:rsidP="00FA49A1">
      <w:pPr>
        <w:spacing w:line="240" w:lineRule="auto"/>
        <w:ind w:left="720" w:firstLine="0"/>
      </w:pPr>
      <w:r w:rsidRPr="003E1680">
        <w:t>69. Should Entergy be allowed to own transportation electrification and charging infrastructure - including vehicle-charging facilities - in the manner it has proposed in its application, or should such ownership be wholly left to customers or third parties?</w:t>
      </w:r>
    </w:p>
    <w:p w14:paraId="03D4453D" w14:textId="77777777" w:rsidR="00FA49A1" w:rsidRDefault="00FA49A1" w:rsidP="00BF095C">
      <w:pPr>
        <w:spacing w:line="240" w:lineRule="auto"/>
      </w:pPr>
    </w:p>
    <w:p w14:paraId="2DF6FD16" w14:textId="0BB21BC3" w:rsidR="00354E3C" w:rsidRDefault="00FA49A1" w:rsidP="00354E3C">
      <w:pPr>
        <w:jc w:val="both"/>
      </w:pPr>
      <w:r w:rsidRPr="00F70E65">
        <w:rPr>
          <w:rFonts w:eastAsia="Arial Unicode MS"/>
          <w:bCs/>
          <w:color w:val="000000"/>
          <w:u w:color="000000"/>
          <w:bdr w:val="nil"/>
        </w:rPr>
        <w:t>To ChargePoint’s knowledge, this proceeding will be the first time that the Commission has been asked to approve a proposal by a regulated monopoly utility to spend ratepayer funds to participate in the unregulated, competitive EV charging market. Utilities play an important role in electrifying the transportation sector, but it is crucial that the Commission ensure that ETI’s proposed</w:t>
      </w:r>
      <w:r>
        <w:t xml:space="preserve"> TECI Rider and TECDA Rider tariffs support the competitive market without harming or distorting </w:t>
      </w:r>
      <w:r w:rsidR="00643399">
        <w:t>it</w:t>
      </w:r>
      <w:r>
        <w:t>. Therein lies ChargePoint’s interest. ChargePoint’s Motion explained that E</w:t>
      </w:r>
      <w:r w:rsidR="00342283">
        <w:t>TI</w:t>
      </w:r>
      <w:r w:rsidR="001C4CC5">
        <w:t>’</w:t>
      </w:r>
      <w:r w:rsidR="00342283">
        <w:t>s</w:t>
      </w:r>
      <w:r>
        <w:t xml:space="preserve"> proposed TECDA Rider would directly impact the cost of operating EV charging stations and therefore directly impact the value proposition of ChargePoint</w:t>
      </w:r>
      <w:r w:rsidR="001C4CC5">
        <w:t>’</w:t>
      </w:r>
      <w:r>
        <w:t>s products and services.</w:t>
      </w:r>
      <w:r w:rsidR="008910F0">
        <w:t xml:space="preserve"> ChargePoint’s Motion further explained that ETI’s proposed TECI Rider will directly impact ChargePoint’s ability to sell its products and services to prospective customers in the Company’s service territory.</w:t>
      </w:r>
      <w:r w:rsidR="00342283">
        <w:t xml:space="preserve"> Whether </w:t>
      </w:r>
      <w:r w:rsidR="008910F0">
        <w:t xml:space="preserve">these </w:t>
      </w:r>
      <w:r w:rsidR="00342283">
        <w:t>impact</w:t>
      </w:r>
      <w:r w:rsidR="008910F0">
        <w:t>s</w:t>
      </w:r>
      <w:r w:rsidR="00342283">
        <w:t xml:space="preserve"> </w:t>
      </w:r>
      <w:r w:rsidR="008910F0">
        <w:t>are</w:t>
      </w:r>
      <w:r w:rsidR="00342283">
        <w:t xml:space="preserve"> positive or negative to ChargePoint’s business is yet to be determined</w:t>
      </w:r>
      <w:r w:rsidR="008910F0">
        <w:t xml:space="preserve"> and making that determination requires participation in this docket</w:t>
      </w:r>
      <w:r w:rsidR="00342283">
        <w:t>.</w:t>
      </w:r>
      <w:r>
        <w:t xml:space="preserve"> </w:t>
      </w:r>
      <w:r w:rsidR="00342283">
        <w:t>Th</w:t>
      </w:r>
      <w:r w:rsidR="008910F0">
        <w:t>ese</w:t>
      </w:r>
      <w:r w:rsidR="00342283">
        <w:t xml:space="preserve"> interest</w:t>
      </w:r>
      <w:r w:rsidR="008910F0">
        <w:t>s are</w:t>
      </w:r>
      <w:r w:rsidR="00342283">
        <w:t xml:space="preserve"> far from “attenuated</w:t>
      </w:r>
      <w:r w:rsidR="00260BFD">
        <w:t>;</w:t>
      </w:r>
      <w:r w:rsidR="00342283">
        <w:t>”</w:t>
      </w:r>
      <w:r w:rsidR="00260BFD">
        <w:t xml:space="preserve"> rather, they pertain directly to ChargePoint’s ability to do business in ETI’s service territory. Moreover, even if ChargePoint determines that Rider TECI or Rider TECDA will have positive impacts on ChargePoint, other parties to this proceeding may </w:t>
      </w:r>
      <w:r w:rsidR="00260BFD">
        <w:lastRenderedPageBreak/>
        <w:t xml:space="preserve">recommend modifying ETI’s proposals in a manner that would negatively impact ChargePoint. ChargePoint can only protect its substantial interests through participation as a party in this proceeding. </w:t>
      </w:r>
    </w:p>
    <w:p w14:paraId="3B198034" w14:textId="1EBF7C23" w:rsidR="00FA49A1" w:rsidRDefault="00354E3C" w:rsidP="00354E3C">
      <w:pPr>
        <w:jc w:val="both"/>
      </w:pPr>
      <w:r>
        <w:t>Importantly, ChargePoint’s interest does not stem from “competing” with ETI, as ETI claims.</w:t>
      </w:r>
      <w:r w:rsidR="00643399">
        <w:rPr>
          <w:rStyle w:val="FootnoteReference"/>
        </w:rPr>
        <w:footnoteReference w:id="3"/>
      </w:r>
      <w:r>
        <w:t xml:space="preserve"> </w:t>
      </w:r>
      <w:r>
        <w:rPr>
          <w:sz w:val="23"/>
          <w:szCs w:val="23"/>
        </w:rPr>
        <w:t>ChargePoint merely seeks</w:t>
      </w:r>
      <w:r>
        <w:t xml:space="preserve"> intervenor status</w:t>
      </w:r>
      <w:r w:rsidRPr="00827CB8">
        <w:rPr>
          <w:bCs/>
        </w:rPr>
        <w:t xml:space="preserve"> to ensure that</w:t>
      </w:r>
      <w:r>
        <w:rPr>
          <w:bCs/>
        </w:rPr>
        <w:t xml:space="preserve"> the outcome of this case</w:t>
      </w:r>
      <w:r w:rsidRPr="00827CB8">
        <w:rPr>
          <w:bCs/>
        </w:rPr>
        <w:t xml:space="preserve"> support</w:t>
      </w:r>
      <w:r>
        <w:rPr>
          <w:bCs/>
        </w:rPr>
        <w:t>s</w:t>
      </w:r>
      <w:r w:rsidRPr="00827CB8">
        <w:rPr>
          <w:bCs/>
        </w:rPr>
        <w:t>, and do</w:t>
      </w:r>
      <w:r>
        <w:rPr>
          <w:bCs/>
        </w:rPr>
        <w:t>es</w:t>
      </w:r>
      <w:r w:rsidRPr="00827CB8">
        <w:rPr>
          <w:bCs/>
        </w:rPr>
        <w:t xml:space="preserve"> not hamper or distort, the competitive market for EV charging equipment and services in E</w:t>
      </w:r>
      <w:r>
        <w:rPr>
          <w:bCs/>
        </w:rPr>
        <w:t>TI</w:t>
      </w:r>
      <w:r w:rsidRPr="00827CB8">
        <w:rPr>
          <w:bCs/>
        </w:rPr>
        <w:t>’s service territory</w:t>
      </w:r>
      <w:r w:rsidR="00FA49A1" w:rsidRPr="00E74F53">
        <w:rPr>
          <w:bCs/>
        </w:rPr>
        <w:t>.</w:t>
      </w:r>
      <w:r w:rsidR="00FA49A1">
        <w:t xml:space="preserve"> ChargePoint does not explain whether a positive or negative impact will result from adoption of those two riders, because it does not have adequate information to </w:t>
      </w:r>
      <w:r>
        <w:t>make that determination</w:t>
      </w:r>
      <w:r w:rsidR="00EB6900">
        <w:t xml:space="preserve"> at this time</w:t>
      </w:r>
      <w:r w:rsidR="00FA49A1">
        <w:t xml:space="preserve">. </w:t>
      </w:r>
      <w:r w:rsidR="00342283">
        <w:t>As an intervening party, it will have the ability to obtain that information</w:t>
      </w:r>
      <w:r w:rsidR="008A12F6">
        <w:t xml:space="preserve"> and make such a determination</w:t>
      </w:r>
      <w:r w:rsidR="00342283">
        <w:t>.</w:t>
      </w:r>
    </w:p>
    <w:p w14:paraId="667E9EE2" w14:textId="7C325377" w:rsidR="00FA49A1" w:rsidRPr="000659C8" w:rsidRDefault="00FA49A1" w:rsidP="000F7725">
      <w:pPr>
        <w:jc w:val="both"/>
      </w:pPr>
      <w:r>
        <w:t>ETI</w:t>
      </w:r>
      <w:r w:rsidR="000659C8">
        <w:t>’s</w:t>
      </w:r>
      <w:r>
        <w:t xml:space="preserve"> contention that the Commission should deny</w:t>
      </w:r>
      <w:r w:rsidR="000659C8">
        <w:t xml:space="preserve"> ChargePoint’s intervention</w:t>
      </w:r>
      <w:r w:rsidR="00760E95">
        <w:t xml:space="preserve"> for the same reasons it</w:t>
      </w:r>
      <w:r>
        <w:t xml:space="preserve"> den</w:t>
      </w:r>
      <w:r w:rsidR="000659C8">
        <w:t>ied</w:t>
      </w:r>
      <w:r>
        <w:t xml:space="preserve"> intervention by Southwestern Public Service Company</w:t>
      </w:r>
      <w:r w:rsidR="001C4CC5">
        <w:t>’</w:t>
      </w:r>
      <w:r>
        <w:t>s (</w:t>
      </w:r>
      <w:r w:rsidR="001C4CC5">
        <w:t>“</w:t>
      </w:r>
      <w:r>
        <w:t>SPS</w:t>
      </w:r>
      <w:r w:rsidR="001C4CC5">
        <w:t>”</w:t>
      </w:r>
      <w:r>
        <w:t>)</w:t>
      </w:r>
      <w:r w:rsidR="000659C8">
        <w:t xml:space="preserve"> is misplaced as well. As a separate regulated utility, </w:t>
      </w:r>
      <w:r>
        <w:t>SPS’s interest is easily distinguishable</w:t>
      </w:r>
      <w:r w:rsidR="00760E95">
        <w:t xml:space="preserve"> from ChargePoint’s</w:t>
      </w:r>
      <w:r w:rsidR="000659C8">
        <w:t>.</w:t>
      </w:r>
      <w:r>
        <w:t xml:space="preserve"> As</w:t>
      </w:r>
      <w:r w:rsidR="00760E95">
        <w:t xml:space="preserve"> the Commission notes in </w:t>
      </w:r>
      <w:r w:rsidR="00760E95" w:rsidRPr="00760E95">
        <w:t xml:space="preserve">SOAH </w:t>
      </w:r>
      <w:r w:rsidR="00760E95">
        <w:t>Order</w:t>
      </w:r>
      <w:r w:rsidR="00760E95" w:rsidRPr="00760E95">
        <w:t xml:space="preserve"> No. 4</w:t>
      </w:r>
      <w:r>
        <w:t xml:space="preserve"> </w:t>
      </w:r>
      <w:r w:rsidR="00994747">
        <w:t xml:space="preserve">denying SPS’s intervention request, </w:t>
      </w:r>
      <w:r>
        <w:t>“</w:t>
      </w:r>
      <w:r w:rsidRPr="00F559B2">
        <w:t>SPS stated that it seeks to intervene because the Preliminary Order in this case includes two issues that may, it argues, materially impact SPS in its own rate cases.</w:t>
      </w:r>
      <w:r>
        <w:t xml:space="preserve">” </w:t>
      </w:r>
      <w:r w:rsidR="00760E95">
        <w:t xml:space="preserve">Conversely, </w:t>
      </w:r>
      <w:r w:rsidR="000659C8">
        <w:t>ChargePoint is not another Texas regulated utility, nor does it seek to address issues in this case that belong elsewhere.</w:t>
      </w:r>
      <w:r w:rsidR="008A12F6">
        <w:t xml:space="preserve"> ChargePoint’s interests arise directly from ETI’s proposals and the potential impacts those proposals will have on ChargePoint.</w:t>
      </w:r>
      <w:r w:rsidR="000659C8">
        <w:t xml:space="preserve"> </w:t>
      </w:r>
      <w:r>
        <w:t>T</w:t>
      </w:r>
      <w:r w:rsidR="008A12F6">
        <w:t>he fact t</w:t>
      </w:r>
      <w:r>
        <w:t>hat the Commission chose not to confer intervenor status</w:t>
      </w:r>
      <w:r w:rsidR="00760E95">
        <w:t xml:space="preserve"> to SPS </w:t>
      </w:r>
      <w:r>
        <w:t>is irrelevant to ChargePoint’s interest in this proceeding</w:t>
      </w:r>
      <w:r w:rsidR="000659C8">
        <w:t>.</w:t>
      </w:r>
      <w:r>
        <w:t xml:space="preserve"> </w:t>
      </w:r>
      <w:r w:rsidR="006D199B">
        <w:t xml:space="preserve">As ChargePoint’s Motion explains, </w:t>
      </w:r>
      <w:r w:rsidR="008A12F6">
        <w:t>“</w:t>
      </w:r>
      <w:r w:rsidR="006D199B">
        <w:t>the nature of ChargePoint</w:t>
      </w:r>
      <w:r w:rsidR="009359BE">
        <w:t>’</w:t>
      </w:r>
      <w:r w:rsidR="006D199B">
        <w:t>s interests and the manner in which the outcome of this proceeding will affect those interests are specific to ChargePoint</w:t>
      </w:r>
      <w:r w:rsidR="001C4CC5">
        <w:t>’</w:t>
      </w:r>
      <w:r w:rsidR="006D199B">
        <w:t xml:space="preserve">s business model, its operations, </w:t>
      </w:r>
      <w:r w:rsidR="006D199B">
        <w:lastRenderedPageBreak/>
        <w:t>and its customers in the Company</w:t>
      </w:r>
      <w:r w:rsidR="008A12F6">
        <w:t>’</w:t>
      </w:r>
      <w:r w:rsidR="006D199B">
        <w:t>s service territory.”</w:t>
      </w:r>
      <w:r w:rsidR="006D199B">
        <w:rPr>
          <w:rStyle w:val="FootnoteReference"/>
        </w:rPr>
        <w:footnoteReference w:id="4"/>
      </w:r>
      <w:r w:rsidR="008A12F6">
        <w:t xml:space="preserve"> </w:t>
      </w:r>
      <w:r>
        <w:t xml:space="preserve">ChargePoint’s interests are its own and no other party can adequately represent them. </w:t>
      </w:r>
      <w:r w:rsidR="008A12F6">
        <w:t>Accordingly</w:t>
      </w:r>
      <w:r w:rsidR="00342283">
        <w:t>, the Commission should grant ChargePoint intervenor status.</w:t>
      </w:r>
    </w:p>
    <w:p w14:paraId="22A2201E" w14:textId="77777777" w:rsidR="00FA49A1" w:rsidRPr="000659C8" w:rsidRDefault="00FA49A1" w:rsidP="000659C8">
      <w:pPr>
        <w:pStyle w:val="Heading2"/>
      </w:pPr>
      <w:r w:rsidRPr="000659C8">
        <w:t xml:space="preserve">ChargePoint had good cause for its late intervention request. </w:t>
      </w:r>
    </w:p>
    <w:p w14:paraId="40B6D479" w14:textId="119CDC9F" w:rsidR="00FA49A1" w:rsidRPr="000659C8" w:rsidRDefault="00FA49A1" w:rsidP="000F7725">
      <w:pPr>
        <w:jc w:val="both"/>
      </w:pPr>
      <w:r w:rsidRPr="000659C8">
        <w:t>ETI espouses that “ChargePoint's request should not be granted because it proffers an apparently pretextual basis as good cause for its untimely motion.”</w:t>
      </w:r>
      <w:r w:rsidRPr="000659C8">
        <w:rPr>
          <w:rStyle w:val="FootnoteReference"/>
        </w:rPr>
        <w:footnoteReference w:id="5"/>
      </w:r>
      <w:r w:rsidRPr="000659C8">
        <w:t xml:space="preserve"> ETI is incorrect.  ChargePoint’s justiciable interest, its need to protect that interest, and the value ChargePoint will bring to this proceeding significantly outweigh the delay.</w:t>
      </w:r>
    </w:p>
    <w:p w14:paraId="12276F8E" w14:textId="0428AF78" w:rsidR="005779CF" w:rsidRDefault="00FA49A1" w:rsidP="001C4CC5">
      <w:pPr>
        <w:jc w:val="both"/>
      </w:pPr>
      <w:r w:rsidRPr="000659C8">
        <w:t xml:space="preserve">ChargePoint initially became aware of this case on August 11, 2022. Upon review, ChargePoint identified its potential substantial interest in the outcome. Subsequently, ChargePoint’s counsel began review </w:t>
      </w:r>
      <w:r w:rsidR="009359BE">
        <w:t xml:space="preserve">of </w:t>
      </w:r>
      <w:r w:rsidRPr="000659C8">
        <w:t xml:space="preserve">ETI’s application, accompanying testimony, and exhibits, ultimately advising ChargePoint that intervention was necessary to protect its interest. ChargePoint would have filed for intervention at that time, but was </w:t>
      </w:r>
      <w:r w:rsidR="001C4CC5">
        <w:t xml:space="preserve">initially </w:t>
      </w:r>
      <w:r w:rsidRPr="000659C8">
        <w:t xml:space="preserve">misinformed about the need for local counsel to make an appearance in this proceeding. ChargePoint’s </w:t>
      </w:r>
      <w:r w:rsidR="005779CF">
        <w:t>c</w:t>
      </w:r>
      <w:r w:rsidRPr="000659C8">
        <w:t xml:space="preserve">ounsel spent approximately </w:t>
      </w:r>
      <w:r w:rsidR="001C4CC5">
        <w:t>two</w:t>
      </w:r>
      <w:r w:rsidRPr="000659C8">
        <w:t xml:space="preserve"> weeks searching for adequate local counsel to assist. Once that person was identified, they informed ChargePoint’s</w:t>
      </w:r>
      <w:r w:rsidR="008A12F6">
        <w:t xml:space="preserve"> counsel</w:t>
      </w:r>
      <w:r w:rsidRPr="000659C8">
        <w:t xml:space="preserve"> that </w:t>
      </w:r>
      <w:r w:rsidR="008A12F6">
        <w:t>ChargePoint</w:t>
      </w:r>
      <w:r w:rsidRPr="000659C8">
        <w:t xml:space="preserve"> could participate in the case without local </w:t>
      </w:r>
      <w:r w:rsidR="001C4CC5">
        <w:t xml:space="preserve">counsel provided it designated an Authorized Representative pursuant to Rule </w:t>
      </w:r>
      <w:r w:rsidR="001C4CC5" w:rsidRPr="007A3DE8">
        <w:t>16 TAC §§ 22.101</w:t>
      </w:r>
      <w:r w:rsidR="005779CF">
        <w:t>(a)</w:t>
      </w:r>
      <w:r w:rsidRPr="000659C8">
        <w:t xml:space="preserve">, as noted in the Motion. </w:t>
      </w:r>
      <w:r w:rsidR="008A12F6">
        <w:t>This was an</w:t>
      </w:r>
      <w:r w:rsidRPr="000659C8">
        <w:t xml:space="preserve"> honest mistake. Notwithstanding, </w:t>
      </w:r>
      <w:r w:rsidR="008A12F6">
        <w:t>this</w:t>
      </w:r>
      <w:r w:rsidR="008A12F6" w:rsidRPr="000659C8">
        <w:t xml:space="preserve"> </w:t>
      </w:r>
      <w:r w:rsidRPr="000659C8">
        <w:t>mistake should not preclude ChargePoint from protecting its interest in this proceeding, as discussed above</w:t>
      </w:r>
      <w:r>
        <w:t>.</w:t>
      </w:r>
    </w:p>
    <w:p w14:paraId="4101FAED" w14:textId="78BAF3B2" w:rsidR="00FA49A1" w:rsidRDefault="005779CF" w:rsidP="000F7725">
      <w:pPr>
        <w:jc w:val="both"/>
      </w:pPr>
      <w:r>
        <w:lastRenderedPageBreak/>
        <w:t>Notably, ETI does not allege in its response that it would be prejudiced in any way</w:t>
      </w:r>
      <w:r w:rsidRPr="005779CF">
        <w:t xml:space="preserve"> </w:t>
      </w:r>
      <w:r>
        <w:t xml:space="preserve">or that the proceeding might be disrupted by allowing ChargePoint’s late intervention. As noted in </w:t>
      </w:r>
      <w:r w:rsidR="008910F0">
        <w:t xml:space="preserve">the Motion, ChargePoint sought intervention well in advance of the October 26, 2022 deadline for discovery and intervenor direct testimony and ChargePoint does not seek any modifications to the procedural schedule. </w:t>
      </w:r>
      <w:r w:rsidR="00345B24">
        <w:t>Accordingly, ChargePoint meets each of the four factors for late intervention under 16 Tex. Admin. Code § 22.104(d).</w:t>
      </w:r>
      <w:r>
        <w:t xml:space="preserve"> </w:t>
      </w:r>
    </w:p>
    <w:p w14:paraId="04042F31" w14:textId="77777777" w:rsidR="00FA49A1" w:rsidRPr="001E3899" w:rsidRDefault="00FA49A1" w:rsidP="000F7725">
      <w:pPr>
        <w:pStyle w:val="Heading1"/>
        <w:numPr>
          <w:ilvl w:val="0"/>
          <w:numId w:val="6"/>
        </w:numPr>
        <w:ind w:left="1440" w:hanging="720"/>
        <w:jc w:val="both"/>
      </w:pPr>
      <w:r>
        <w:t>Conclusion</w:t>
      </w:r>
    </w:p>
    <w:p w14:paraId="68ED4AFC" w14:textId="215FB893" w:rsidR="00994747" w:rsidRDefault="00994747" w:rsidP="00B711BC">
      <w:pPr>
        <w:jc w:val="both"/>
      </w:pPr>
      <w:r>
        <w:t>For the foregoing reasons, absent intervention, ChargePoint</w:t>
      </w:r>
      <w:r w:rsidR="00345B24">
        <w:t>’</w:t>
      </w:r>
      <w:r>
        <w:t xml:space="preserve">s justiciable interest may be adversely affected by the outcome of this case within the meaning of 16 Tex. Admin. Code §22.103(b)(2). </w:t>
      </w:r>
      <w:r w:rsidR="00601A51">
        <w:t>F</w:t>
      </w:r>
      <w:r>
        <w:t xml:space="preserve">or ChargePoint to properly protect its interests with respect to Issues 67, 68, and 69, it should be granted leave to intervene in this matter to participate in resolution of these </w:t>
      </w:r>
      <w:r w:rsidRPr="000659C8">
        <w:t>issues.</w:t>
      </w:r>
      <w:r>
        <w:t xml:space="preserve"> </w:t>
      </w:r>
      <w:r w:rsidR="00FA49A1" w:rsidRPr="00C33DA9">
        <w:t xml:space="preserve">ChargePoint respectfully requests the Commission grant </w:t>
      </w:r>
      <w:r w:rsidR="00FA49A1">
        <w:t>its Motion for Leave to Intervene Out of Time, along with any further relief the Commission deems proper.</w:t>
      </w:r>
    </w:p>
    <w:p w14:paraId="5991F920" w14:textId="7038908D" w:rsidR="00FA49A1" w:rsidRPr="003B0D08" w:rsidRDefault="00FA49A1" w:rsidP="006D6BB6">
      <w:pPr>
        <w:jc w:val="both"/>
      </w:pPr>
      <w:r w:rsidRPr="00C33DA9">
        <w:t xml:space="preserve">Respectfully </w:t>
      </w:r>
      <w:r w:rsidRPr="003B0D08">
        <w:t xml:space="preserve">submitted on </w:t>
      </w:r>
      <w:r w:rsidRPr="004E3272">
        <w:t xml:space="preserve">September </w:t>
      </w:r>
      <w:r w:rsidR="004E3272" w:rsidRPr="004E3272">
        <w:t>1</w:t>
      </w:r>
      <w:r w:rsidR="00601A51">
        <w:t>6</w:t>
      </w:r>
      <w:r w:rsidRPr="004E3272">
        <w:t>, 2022,</w:t>
      </w:r>
    </w:p>
    <w:tbl>
      <w:tblPr>
        <w:tblStyle w:val="TableGrid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26"/>
        <w:gridCol w:w="4734"/>
      </w:tblGrid>
      <w:tr w:rsidR="00FA49A1" w:rsidRPr="003B0D08" w14:paraId="30D18109" w14:textId="77777777" w:rsidTr="0059147F">
        <w:tc>
          <w:tcPr>
            <w:tcW w:w="4788" w:type="dxa"/>
          </w:tcPr>
          <w:p w14:paraId="500F3523" w14:textId="77777777" w:rsidR="00FA49A1" w:rsidRPr="003B0D08" w:rsidRDefault="00FA49A1" w:rsidP="0059147F"/>
        </w:tc>
        <w:tc>
          <w:tcPr>
            <w:tcW w:w="4788" w:type="dxa"/>
          </w:tcPr>
          <w:p w14:paraId="72766ADC" w14:textId="77777777" w:rsidR="00FA49A1" w:rsidRPr="00AF0C52" w:rsidRDefault="00FA49A1" w:rsidP="0059147F">
            <w:pPr>
              <w:spacing w:line="240" w:lineRule="auto"/>
              <w:rPr>
                <w:i/>
                <w:iCs/>
                <w:u w:val="single"/>
              </w:rPr>
            </w:pPr>
            <w:r>
              <w:rPr>
                <w:i/>
                <w:iCs/>
                <w:u w:val="single"/>
              </w:rPr>
              <w:t xml:space="preserve">/s/ Scott F. Dunbar </w:t>
            </w:r>
          </w:p>
          <w:p w14:paraId="43EE7062" w14:textId="77777777" w:rsidR="00FA49A1" w:rsidRDefault="00FA49A1" w:rsidP="0059147F">
            <w:pPr>
              <w:spacing w:line="240" w:lineRule="auto"/>
            </w:pPr>
            <w:r w:rsidRPr="003B0D08">
              <w:t xml:space="preserve">Scott </w:t>
            </w:r>
            <w:r>
              <w:t xml:space="preserve">F. </w:t>
            </w:r>
            <w:r w:rsidRPr="003B0D08">
              <w:t>Dunbar</w:t>
            </w:r>
          </w:p>
          <w:p w14:paraId="2D5A4030" w14:textId="77777777" w:rsidR="00FA49A1" w:rsidRPr="003B0D08" w:rsidRDefault="00FA49A1" w:rsidP="0059147F">
            <w:pPr>
              <w:spacing w:line="240" w:lineRule="auto"/>
            </w:pPr>
            <w:r>
              <w:t>Colorado Bar No. 44521</w:t>
            </w:r>
          </w:p>
          <w:p w14:paraId="7A5D2A14" w14:textId="77777777" w:rsidR="00FA49A1" w:rsidRPr="003B0D08" w:rsidRDefault="00FA49A1" w:rsidP="0059147F">
            <w:pPr>
              <w:spacing w:line="240" w:lineRule="auto"/>
            </w:pPr>
            <w:r w:rsidRPr="003B0D08">
              <w:t>Keyes &amp; Fox LLP</w:t>
            </w:r>
          </w:p>
          <w:p w14:paraId="63244DC1" w14:textId="77777777" w:rsidR="00FA49A1" w:rsidRPr="003B0D08" w:rsidRDefault="00FA49A1" w:rsidP="0059147F">
            <w:pPr>
              <w:spacing w:line="240" w:lineRule="auto"/>
            </w:pPr>
            <w:r w:rsidRPr="003B0D08">
              <w:t>1580 Lincoln St., Suite 1105</w:t>
            </w:r>
          </w:p>
          <w:p w14:paraId="02C7D523" w14:textId="77777777" w:rsidR="00FA49A1" w:rsidRPr="00727E52" w:rsidRDefault="00FA49A1" w:rsidP="0059147F">
            <w:pPr>
              <w:spacing w:line="240" w:lineRule="auto"/>
              <w:rPr>
                <w:color w:val="000000" w:themeColor="text1"/>
              </w:rPr>
            </w:pPr>
            <w:r w:rsidRPr="00727E52">
              <w:rPr>
                <w:color w:val="000000" w:themeColor="text1"/>
              </w:rPr>
              <w:t>Denver, CO 80203</w:t>
            </w:r>
          </w:p>
          <w:p w14:paraId="47484208" w14:textId="77777777" w:rsidR="00FA49A1" w:rsidRPr="00727E52" w:rsidRDefault="00FA49A1" w:rsidP="0059147F">
            <w:pPr>
              <w:spacing w:line="240" w:lineRule="auto"/>
              <w:rPr>
                <w:color w:val="000000" w:themeColor="text1"/>
              </w:rPr>
            </w:pPr>
            <w:r w:rsidRPr="00727E52">
              <w:rPr>
                <w:color w:val="000000" w:themeColor="text1"/>
              </w:rPr>
              <w:t>949-525-6016</w:t>
            </w:r>
          </w:p>
          <w:p w14:paraId="3A1A0E17" w14:textId="77777777" w:rsidR="00FA49A1" w:rsidRPr="00727E52" w:rsidRDefault="00000000" w:rsidP="0059147F">
            <w:pPr>
              <w:spacing w:line="240" w:lineRule="auto"/>
              <w:rPr>
                <w:color w:val="000000" w:themeColor="text1"/>
              </w:rPr>
            </w:pPr>
            <w:hyperlink r:id="rId10" w:history="1">
              <w:r w:rsidR="00FA49A1" w:rsidRPr="00727E52">
                <w:rPr>
                  <w:rStyle w:val="Hyperlink"/>
                  <w:color w:val="000000" w:themeColor="text1"/>
                </w:rPr>
                <w:t>sdunbar@keyesfox.com</w:t>
              </w:r>
            </w:hyperlink>
          </w:p>
          <w:p w14:paraId="149B6964" w14:textId="77777777" w:rsidR="00FA49A1" w:rsidRPr="00BF095C" w:rsidRDefault="00FA49A1" w:rsidP="0059147F">
            <w:pPr>
              <w:spacing w:line="240" w:lineRule="auto"/>
              <w:rPr>
                <w:sz w:val="22"/>
                <w:szCs w:val="22"/>
              </w:rPr>
            </w:pPr>
          </w:p>
          <w:p w14:paraId="2926DD6C" w14:textId="77777777" w:rsidR="00FA49A1" w:rsidRPr="00827CB8" w:rsidRDefault="00FA49A1" w:rsidP="0059147F">
            <w:pPr>
              <w:spacing w:line="240" w:lineRule="auto"/>
            </w:pPr>
            <w:r>
              <w:t>Lucas</w:t>
            </w:r>
            <w:r w:rsidRPr="00827CB8">
              <w:t xml:space="preserve"> </w:t>
            </w:r>
            <w:r>
              <w:t>A</w:t>
            </w:r>
            <w:r w:rsidRPr="00827CB8">
              <w:t xml:space="preserve">. </w:t>
            </w:r>
            <w:r>
              <w:t>Fykes</w:t>
            </w:r>
          </w:p>
          <w:p w14:paraId="530945A2" w14:textId="77777777" w:rsidR="00FA49A1" w:rsidRPr="00827CB8" w:rsidRDefault="00FA49A1" w:rsidP="0059147F">
            <w:pPr>
              <w:spacing w:line="240" w:lineRule="auto"/>
            </w:pPr>
            <w:r>
              <w:t>Ohio</w:t>
            </w:r>
            <w:r w:rsidRPr="00827CB8">
              <w:t xml:space="preserve"> Bar No. </w:t>
            </w:r>
            <w:r>
              <w:t>98471</w:t>
            </w:r>
          </w:p>
          <w:p w14:paraId="25C14A0B" w14:textId="77777777" w:rsidR="00FA49A1" w:rsidRPr="00827CB8" w:rsidRDefault="00FA49A1" w:rsidP="0059147F">
            <w:pPr>
              <w:spacing w:line="240" w:lineRule="auto"/>
            </w:pPr>
            <w:r w:rsidRPr="00827CB8">
              <w:t>Keyes &amp; Fox LLP</w:t>
            </w:r>
          </w:p>
          <w:p w14:paraId="03425AF2" w14:textId="77777777" w:rsidR="00FA49A1" w:rsidRPr="00827CB8" w:rsidRDefault="00FA49A1" w:rsidP="0059147F">
            <w:pPr>
              <w:spacing w:line="240" w:lineRule="auto"/>
            </w:pPr>
            <w:r w:rsidRPr="00827CB8">
              <w:t>1580 Lincoln St., Suite 1105</w:t>
            </w:r>
          </w:p>
          <w:p w14:paraId="23A7AC50" w14:textId="77777777" w:rsidR="00FA49A1" w:rsidRPr="00827CB8" w:rsidRDefault="00FA49A1" w:rsidP="0059147F">
            <w:pPr>
              <w:spacing w:line="240" w:lineRule="auto"/>
            </w:pPr>
            <w:r w:rsidRPr="00827CB8">
              <w:t>Denver, CO 80203</w:t>
            </w:r>
          </w:p>
          <w:p w14:paraId="728A4DF5" w14:textId="450E776B" w:rsidR="00FA49A1" w:rsidRPr="00827CB8" w:rsidRDefault="00FA49A1" w:rsidP="0059147F">
            <w:pPr>
              <w:spacing w:line="240" w:lineRule="auto"/>
            </w:pPr>
            <w:r>
              <w:t>614</w:t>
            </w:r>
            <w:r w:rsidRPr="00827CB8">
              <w:t>-</w:t>
            </w:r>
            <w:r>
              <w:t>285</w:t>
            </w:r>
            <w:r w:rsidRPr="00827CB8">
              <w:t>-</w:t>
            </w:r>
            <w:r>
              <w:t>856</w:t>
            </w:r>
          </w:p>
          <w:p w14:paraId="3EDD9921" w14:textId="77777777" w:rsidR="00FA49A1" w:rsidRPr="00BF095C" w:rsidRDefault="00FA49A1" w:rsidP="00BF095C">
            <w:pPr>
              <w:spacing w:line="240" w:lineRule="auto"/>
              <w:rPr>
                <w:sz w:val="22"/>
                <w:szCs w:val="22"/>
              </w:rPr>
            </w:pPr>
          </w:p>
          <w:p w14:paraId="56485AD5" w14:textId="77777777" w:rsidR="00FA49A1" w:rsidRPr="00723682" w:rsidRDefault="00FA49A1" w:rsidP="0059147F">
            <w:pPr>
              <w:rPr>
                <w:i/>
                <w:iCs/>
              </w:rPr>
            </w:pPr>
            <w:r w:rsidRPr="00723682">
              <w:rPr>
                <w:i/>
                <w:iCs/>
              </w:rPr>
              <w:t>Counsel to ChargePoint, Inc.</w:t>
            </w:r>
          </w:p>
        </w:tc>
      </w:tr>
    </w:tbl>
    <w:p w14:paraId="02AB57E2" w14:textId="269EDD85" w:rsidR="00DE7A9F" w:rsidRPr="00AB0151" w:rsidRDefault="00DE7A9F" w:rsidP="00DE7A9F">
      <w:pPr>
        <w:pStyle w:val="Heading5"/>
        <w:keepNext/>
        <w:shd w:val="clear" w:color="auto" w:fill="FFFFFF"/>
        <w:spacing w:before="0" w:beforeAutospacing="0" w:after="0" w:afterAutospacing="0"/>
        <w:jc w:val="center"/>
        <w:textAlignment w:val="baseline"/>
        <w:rPr>
          <w:b w:val="0"/>
          <w:sz w:val="24"/>
          <w:szCs w:val="24"/>
        </w:rPr>
      </w:pPr>
      <w:r w:rsidRPr="00AB0151">
        <w:rPr>
          <w:sz w:val="24"/>
          <w:szCs w:val="24"/>
          <w:u w:val="single"/>
        </w:rPr>
        <w:lastRenderedPageBreak/>
        <w:t>Certificate of Service</w:t>
      </w:r>
    </w:p>
    <w:p w14:paraId="02572085" w14:textId="6F400B94" w:rsidR="00DE7A9F" w:rsidRPr="00AB0151" w:rsidRDefault="00DE7A9F" w:rsidP="00DE7A9F">
      <w:pPr>
        <w:pStyle w:val="Heading5"/>
        <w:keepNext/>
        <w:shd w:val="clear" w:color="auto" w:fill="FFFFFF"/>
        <w:textAlignment w:val="baseline"/>
        <w:rPr>
          <w:b w:val="0"/>
          <w:sz w:val="24"/>
          <w:szCs w:val="24"/>
        </w:rPr>
      </w:pPr>
      <w:r w:rsidRPr="00AB0151">
        <w:rPr>
          <w:b w:val="0"/>
          <w:sz w:val="24"/>
          <w:szCs w:val="24"/>
        </w:rPr>
        <w:t xml:space="preserve">I hereby certify that copies of the foregoing </w:t>
      </w:r>
      <w:r w:rsidRPr="00EE17E2">
        <w:rPr>
          <w:b w:val="0"/>
          <w:sz w:val="24"/>
          <w:szCs w:val="24"/>
        </w:rPr>
        <w:t xml:space="preserve">have been mailed, emailed or hand-delivered to all counsel of record on </w:t>
      </w:r>
      <w:r w:rsidR="00CB2F06" w:rsidRPr="00EE17E2">
        <w:rPr>
          <w:b w:val="0"/>
          <w:sz w:val="24"/>
          <w:szCs w:val="24"/>
        </w:rPr>
        <w:t>September</w:t>
      </w:r>
      <w:r w:rsidRPr="00BF095C">
        <w:rPr>
          <w:b w:val="0"/>
          <w:sz w:val="24"/>
          <w:szCs w:val="24"/>
        </w:rPr>
        <w:t xml:space="preserve"> </w:t>
      </w:r>
      <w:r w:rsidR="00B711BC" w:rsidRPr="00BF095C">
        <w:rPr>
          <w:b w:val="0"/>
          <w:sz w:val="24"/>
          <w:szCs w:val="24"/>
        </w:rPr>
        <w:t>16</w:t>
      </w:r>
      <w:r w:rsidRPr="00BF095C">
        <w:rPr>
          <w:b w:val="0"/>
          <w:sz w:val="24"/>
          <w:szCs w:val="24"/>
        </w:rPr>
        <w:t>,</w:t>
      </w:r>
      <w:r w:rsidRPr="00EE17E2">
        <w:rPr>
          <w:b w:val="0"/>
          <w:sz w:val="24"/>
          <w:szCs w:val="24"/>
        </w:rPr>
        <w:t xml:space="preserve"> 2022:</w:t>
      </w:r>
    </w:p>
    <w:p w14:paraId="5DC25107" w14:textId="1AB7A19E" w:rsidR="00DE7A9F" w:rsidRPr="00AB0151" w:rsidRDefault="00DE7A9F" w:rsidP="00BF095C">
      <w:pPr>
        <w:pStyle w:val="Heading5"/>
        <w:keepNext/>
        <w:shd w:val="clear" w:color="auto" w:fill="FFFFFF"/>
        <w:ind w:left="4320"/>
        <w:textAlignment w:val="baseline"/>
      </w:pPr>
      <w:r w:rsidRPr="00AB0151">
        <w:rPr>
          <w:b w:val="0"/>
          <w:i/>
          <w:sz w:val="24"/>
          <w:szCs w:val="24"/>
          <w:u w:val="single"/>
        </w:rPr>
        <w:t xml:space="preserve">/s/ Alicia </w:t>
      </w:r>
      <w:proofErr w:type="spellStart"/>
      <w:r w:rsidRPr="00AB0151">
        <w:rPr>
          <w:b w:val="0"/>
          <w:i/>
          <w:sz w:val="24"/>
          <w:szCs w:val="24"/>
          <w:u w:val="single"/>
        </w:rPr>
        <w:t>Zaloga</w:t>
      </w:r>
      <w:proofErr w:type="spellEnd"/>
    </w:p>
    <w:sectPr w:rsidR="00DE7A9F" w:rsidRPr="00AB0151" w:rsidSect="00970B99">
      <w:footerReference w:type="even" r:id="rId11"/>
      <w:footerReference w:type="default" r:id="rId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B1AE7" w14:textId="77777777" w:rsidR="00FA38E3" w:rsidRDefault="00FA38E3" w:rsidP="00CE0C84">
      <w:r>
        <w:separator/>
      </w:r>
    </w:p>
  </w:endnote>
  <w:endnote w:type="continuationSeparator" w:id="0">
    <w:p w14:paraId="0F93C131" w14:textId="77777777" w:rsidR="00FA38E3" w:rsidRDefault="00FA38E3" w:rsidP="00CE0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701D" w14:textId="54ED4647" w:rsidR="00FF44B5" w:rsidRDefault="00FF44B5" w:rsidP="007B4BD6">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D59CC">
      <w:rPr>
        <w:rStyle w:val="PageNumber"/>
        <w:noProof/>
      </w:rPr>
      <w:t>6</w:t>
    </w:r>
    <w:r>
      <w:rPr>
        <w:rStyle w:val="PageNumber"/>
      </w:rPr>
      <w:fldChar w:fldCharType="end"/>
    </w:r>
  </w:p>
  <w:p w14:paraId="404D5937" w14:textId="77777777" w:rsidR="00FF44B5" w:rsidRDefault="00FF44B5" w:rsidP="008636F4">
    <w:pPr>
      <w:pStyle w:val="Footer"/>
      <w:ind w:right="360"/>
    </w:pPr>
  </w:p>
  <w:p w14:paraId="3203C492" w14:textId="77777777" w:rsidR="00EF03B1" w:rsidRDefault="00EF03B1"/>
  <w:p w14:paraId="65A5D249" w14:textId="77777777" w:rsidR="00EF03B1" w:rsidRDefault="00EF03B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F45E" w14:textId="77777777" w:rsidR="00FF44B5" w:rsidRPr="008636F4" w:rsidRDefault="00FF44B5" w:rsidP="007B4BD6">
    <w:pPr>
      <w:pStyle w:val="Footer"/>
      <w:framePr w:wrap="none" w:vAnchor="text" w:hAnchor="margin" w:xAlign="center" w:y="1"/>
      <w:rPr>
        <w:rStyle w:val="PageNumber"/>
        <w:rFonts w:ascii="Times New Roman" w:hAnsi="Times New Roman" w:cs="Times New Roman"/>
      </w:rPr>
    </w:pPr>
    <w:r w:rsidRPr="008636F4">
      <w:rPr>
        <w:rStyle w:val="PageNumber"/>
        <w:rFonts w:ascii="Times New Roman" w:hAnsi="Times New Roman" w:cs="Times New Roman"/>
      </w:rPr>
      <w:fldChar w:fldCharType="begin"/>
    </w:r>
    <w:r w:rsidRPr="008636F4">
      <w:rPr>
        <w:rStyle w:val="PageNumber"/>
        <w:rFonts w:ascii="Times New Roman" w:hAnsi="Times New Roman" w:cs="Times New Roman"/>
      </w:rPr>
      <w:instrText xml:space="preserve">PAGE  </w:instrText>
    </w:r>
    <w:r w:rsidRPr="008636F4">
      <w:rPr>
        <w:rStyle w:val="PageNumber"/>
        <w:rFonts w:ascii="Times New Roman" w:hAnsi="Times New Roman" w:cs="Times New Roman"/>
      </w:rPr>
      <w:fldChar w:fldCharType="separate"/>
    </w:r>
    <w:r w:rsidR="008D721D">
      <w:rPr>
        <w:rStyle w:val="PageNumber"/>
        <w:rFonts w:ascii="Times New Roman" w:hAnsi="Times New Roman" w:cs="Times New Roman"/>
        <w:noProof/>
      </w:rPr>
      <w:t>7</w:t>
    </w:r>
    <w:r w:rsidRPr="008636F4">
      <w:rPr>
        <w:rStyle w:val="PageNumber"/>
        <w:rFonts w:ascii="Times New Roman" w:hAnsi="Times New Roman" w:cs="Times New Roman"/>
      </w:rPr>
      <w:fldChar w:fldCharType="end"/>
    </w:r>
  </w:p>
  <w:p w14:paraId="207E4B62" w14:textId="58324FCA" w:rsidR="00E83832" w:rsidRDefault="00E83832" w:rsidP="00E83832">
    <w:pPr>
      <w:spacing w:line="240" w:lineRule="auto"/>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007F" w14:textId="77777777" w:rsidR="00A706B6" w:rsidRDefault="00A706B6" w:rsidP="007B4BD6">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5F7E367" w14:textId="77777777" w:rsidR="00A706B6" w:rsidRDefault="00A706B6" w:rsidP="008636F4">
    <w:pPr>
      <w:pStyle w:val="Footer"/>
      <w:ind w:right="360"/>
    </w:pPr>
  </w:p>
  <w:p w14:paraId="11DBA30A" w14:textId="77777777" w:rsidR="00A706B6" w:rsidRDefault="00A706B6"/>
  <w:p w14:paraId="320A6816" w14:textId="77777777" w:rsidR="00A706B6" w:rsidRDefault="00A706B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F5DCF" w14:textId="77777777" w:rsidR="00A706B6" w:rsidRPr="008636F4" w:rsidRDefault="00A706B6" w:rsidP="007B4BD6">
    <w:pPr>
      <w:pStyle w:val="Footer"/>
      <w:framePr w:wrap="none" w:vAnchor="text" w:hAnchor="margin" w:xAlign="center" w:y="1"/>
      <w:rPr>
        <w:rStyle w:val="PageNumber"/>
        <w:rFonts w:ascii="Times New Roman" w:hAnsi="Times New Roman" w:cs="Times New Roman"/>
      </w:rPr>
    </w:pPr>
    <w:r w:rsidRPr="008636F4">
      <w:rPr>
        <w:rStyle w:val="PageNumber"/>
        <w:rFonts w:ascii="Times New Roman" w:hAnsi="Times New Roman" w:cs="Times New Roman"/>
      </w:rPr>
      <w:fldChar w:fldCharType="begin"/>
    </w:r>
    <w:r w:rsidRPr="008636F4">
      <w:rPr>
        <w:rStyle w:val="PageNumber"/>
        <w:rFonts w:ascii="Times New Roman" w:hAnsi="Times New Roman" w:cs="Times New Roman"/>
      </w:rPr>
      <w:instrText xml:space="preserve">PAGE  </w:instrText>
    </w:r>
    <w:r w:rsidRPr="008636F4">
      <w:rPr>
        <w:rStyle w:val="PageNumber"/>
        <w:rFonts w:ascii="Times New Roman" w:hAnsi="Times New Roman" w:cs="Times New Roman"/>
      </w:rPr>
      <w:fldChar w:fldCharType="separate"/>
    </w:r>
    <w:r>
      <w:rPr>
        <w:rStyle w:val="PageNumber"/>
        <w:rFonts w:ascii="Times New Roman" w:hAnsi="Times New Roman" w:cs="Times New Roman"/>
        <w:noProof/>
      </w:rPr>
      <w:t>7</w:t>
    </w:r>
    <w:r w:rsidRPr="008636F4">
      <w:rPr>
        <w:rStyle w:val="PageNumber"/>
        <w:rFonts w:ascii="Times New Roman" w:hAnsi="Times New Roman" w:cs="Times New Roman"/>
      </w:rPr>
      <w:fldChar w:fldCharType="end"/>
    </w:r>
  </w:p>
  <w:p w14:paraId="5F4EB8AC" w14:textId="77777777" w:rsidR="00A706B6" w:rsidRDefault="00A706B6" w:rsidP="00E83832">
    <w:pPr>
      <w:spacing w:line="240" w:lineRule="auto"/>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FBD4A" w14:textId="77777777" w:rsidR="00FA38E3" w:rsidRDefault="00FA38E3" w:rsidP="00CE0C84">
      <w:r>
        <w:separator/>
      </w:r>
    </w:p>
  </w:footnote>
  <w:footnote w:type="continuationSeparator" w:id="0">
    <w:p w14:paraId="1AFDFB9D" w14:textId="77777777" w:rsidR="00FA38E3" w:rsidRDefault="00FA38E3" w:rsidP="00CE0C84">
      <w:r>
        <w:continuationSeparator/>
      </w:r>
    </w:p>
  </w:footnote>
  <w:footnote w:id="1">
    <w:p w14:paraId="2F38B099" w14:textId="04E744CD" w:rsidR="00FA49A1" w:rsidRPr="00994747" w:rsidRDefault="00FA49A1" w:rsidP="006D199B">
      <w:pPr>
        <w:pStyle w:val="FootnoteText"/>
        <w:spacing w:line="240" w:lineRule="auto"/>
        <w:rPr>
          <w:rFonts w:ascii="Times New Roman" w:hAnsi="Times New Roman" w:cs="Times New Roman"/>
          <w:sz w:val="22"/>
          <w:szCs w:val="22"/>
        </w:rPr>
      </w:pPr>
      <w:r w:rsidRPr="00994747">
        <w:rPr>
          <w:rStyle w:val="FootnoteReference"/>
          <w:rFonts w:ascii="Times New Roman" w:hAnsi="Times New Roman" w:cs="Times New Roman"/>
          <w:sz w:val="22"/>
          <w:szCs w:val="22"/>
        </w:rPr>
        <w:footnoteRef/>
      </w:r>
      <w:r w:rsidRPr="00994747">
        <w:rPr>
          <w:rFonts w:ascii="Times New Roman" w:hAnsi="Times New Roman" w:cs="Times New Roman"/>
          <w:sz w:val="22"/>
          <w:szCs w:val="22"/>
        </w:rPr>
        <w:t xml:space="preserve"> </w:t>
      </w:r>
      <w:r w:rsidR="006D199B">
        <w:rPr>
          <w:rFonts w:ascii="Times New Roman" w:hAnsi="Times New Roman" w:cs="Times New Roman"/>
          <w:sz w:val="22"/>
          <w:szCs w:val="22"/>
        </w:rPr>
        <w:tab/>
      </w:r>
      <w:r w:rsidRPr="00994747">
        <w:rPr>
          <w:rFonts w:ascii="Times New Roman" w:hAnsi="Times New Roman" w:cs="Times New Roman"/>
          <w:sz w:val="22"/>
          <w:szCs w:val="22"/>
        </w:rPr>
        <w:t>ETI Objection at 1.</w:t>
      </w:r>
    </w:p>
  </w:footnote>
  <w:footnote w:id="2">
    <w:p w14:paraId="7F613238" w14:textId="37473168" w:rsidR="00FA49A1" w:rsidRPr="00994747" w:rsidRDefault="00FA49A1" w:rsidP="006D199B">
      <w:pPr>
        <w:pStyle w:val="FootnoteText"/>
        <w:spacing w:line="240" w:lineRule="auto"/>
        <w:rPr>
          <w:rFonts w:ascii="Times New Roman" w:hAnsi="Times New Roman" w:cs="Times New Roman"/>
          <w:sz w:val="22"/>
          <w:szCs w:val="22"/>
        </w:rPr>
      </w:pPr>
      <w:r w:rsidRPr="00994747">
        <w:rPr>
          <w:rStyle w:val="FootnoteReference"/>
          <w:rFonts w:ascii="Times New Roman" w:hAnsi="Times New Roman" w:cs="Times New Roman"/>
          <w:sz w:val="22"/>
          <w:szCs w:val="22"/>
        </w:rPr>
        <w:footnoteRef/>
      </w:r>
      <w:r w:rsidRPr="00994747">
        <w:rPr>
          <w:rFonts w:ascii="Times New Roman" w:hAnsi="Times New Roman" w:cs="Times New Roman"/>
          <w:sz w:val="22"/>
          <w:szCs w:val="22"/>
        </w:rPr>
        <w:t xml:space="preserve"> </w:t>
      </w:r>
      <w:r w:rsidR="006D199B">
        <w:rPr>
          <w:rFonts w:ascii="Times New Roman" w:hAnsi="Times New Roman" w:cs="Times New Roman"/>
          <w:sz w:val="22"/>
          <w:szCs w:val="22"/>
        </w:rPr>
        <w:tab/>
      </w:r>
      <w:r w:rsidR="00643399" w:rsidRPr="00994747">
        <w:rPr>
          <w:rFonts w:ascii="Times New Roman" w:hAnsi="Times New Roman" w:cs="Times New Roman"/>
          <w:sz w:val="22"/>
          <w:szCs w:val="22"/>
        </w:rPr>
        <w:t>ChargePoint Motion at 3.</w:t>
      </w:r>
    </w:p>
  </w:footnote>
  <w:footnote w:id="3">
    <w:p w14:paraId="6BBE38C9" w14:textId="413F40D1" w:rsidR="00643399" w:rsidRPr="00994747" w:rsidRDefault="00643399" w:rsidP="006D199B">
      <w:pPr>
        <w:pStyle w:val="FootnoteText"/>
        <w:spacing w:line="240" w:lineRule="auto"/>
        <w:rPr>
          <w:rFonts w:ascii="Times New Roman" w:hAnsi="Times New Roman" w:cs="Times New Roman"/>
          <w:sz w:val="22"/>
          <w:szCs w:val="22"/>
        </w:rPr>
      </w:pPr>
      <w:r w:rsidRPr="00994747">
        <w:rPr>
          <w:rStyle w:val="FootnoteReference"/>
          <w:rFonts w:ascii="Times New Roman" w:hAnsi="Times New Roman" w:cs="Times New Roman"/>
          <w:sz w:val="22"/>
          <w:szCs w:val="22"/>
        </w:rPr>
        <w:footnoteRef/>
      </w:r>
      <w:r w:rsidRPr="00994747">
        <w:rPr>
          <w:rFonts w:ascii="Times New Roman" w:hAnsi="Times New Roman" w:cs="Times New Roman"/>
          <w:sz w:val="22"/>
          <w:szCs w:val="22"/>
        </w:rPr>
        <w:t xml:space="preserve"> </w:t>
      </w:r>
      <w:r w:rsidR="006D199B">
        <w:rPr>
          <w:rFonts w:ascii="Times New Roman" w:hAnsi="Times New Roman" w:cs="Times New Roman"/>
          <w:sz w:val="22"/>
          <w:szCs w:val="22"/>
        </w:rPr>
        <w:tab/>
      </w:r>
      <w:r w:rsidRPr="00994747">
        <w:rPr>
          <w:rFonts w:ascii="Times New Roman" w:hAnsi="Times New Roman" w:cs="Times New Roman"/>
          <w:sz w:val="22"/>
          <w:szCs w:val="22"/>
        </w:rPr>
        <w:t>ETI Objection at 3.</w:t>
      </w:r>
    </w:p>
  </w:footnote>
  <w:footnote w:id="4">
    <w:p w14:paraId="27EE2BE7" w14:textId="32A66A31" w:rsidR="006D199B" w:rsidRPr="00994747" w:rsidRDefault="006D199B" w:rsidP="006D199B">
      <w:pPr>
        <w:pStyle w:val="FootnoteText"/>
        <w:spacing w:line="240" w:lineRule="auto"/>
        <w:rPr>
          <w:rFonts w:ascii="Times New Roman" w:hAnsi="Times New Roman" w:cs="Times New Roman"/>
          <w:sz w:val="22"/>
          <w:szCs w:val="22"/>
        </w:rPr>
      </w:pPr>
      <w:r w:rsidRPr="00994747">
        <w:rPr>
          <w:rStyle w:val="FootnoteReference"/>
          <w:rFonts w:ascii="Times New Roman" w:hAnsi="Times New Roman" w:cs="Times New Roman"/>
          <w:sz w:val="22"/>
          <w:szCs w:val="22"/>
        </w:rPr>
        <w:footnoteRef/>
      </w:r>
      <w:r w:rsidRPr="00994747">
        <w:rPr>
          <w:rFonts w:ascii="Times New Roman" w:hAnsi="Times New Roman" w:cs="Times New Roman"/>
          <w:sz w:val="22"/>
          <w:szCs w:val="22"/>
        </w:rPr>
        <w:t xml:space="preserve">  </w:t>
      </w:r>
      <w:r>
        <w:rPr>
          <w:rFonts w:ascii="Times New Roman" w:hAnsi="Times New Roman" w:cs="Times New Roman"/>
          <w:sz w:val="22"/>
          <w:szCs w:val="22"/>
        </w:rPr>
        <w:tab/>
      </w:r>
      <w:r w:rsidRPr="00994747">
        <w:rPr>
          <w:rFonts w:ascii="Times New Roman" w:hAnsi="Times New Roman" w:cs="Times New Roman"/>
          <w:sz w:val="22"/>
          <w:szCs w:val="22"/>
        </w:rPr>
        <w:t>Motion at 5.</w:t>
      </w:r>
    </w:p>
  </w:footnote>
  <w:footnote w:id="5">
    <w:p w14:paraId="32949BA0" w14:textId="3544B297" w:rsidR="00FA49A1" w:rsidRPr="00994747" w:rsidRDefault="00FA49A1" w:rsidP="006D199B">
      <w:pPr>
        <w:pStyle w:val="FootnoteText"/>
        <w:spacing w:line="240" w:lineRule="auto"/>
        <w:rPr>
          <w:rFonts w:ascii="Times New Roman" w:hAnsi="Times New Roman" w:cs="Times New Roman"/>
          <w:sz w:val="22"/>
          <w:szCs w:val="22"/>
        </w:rPr>
      </w:pPr>
      <w:r w:rsidRPr="00994747">
        <w:rPr>
          <w:rStyle w:val="FootnoteReference"/>
          <w:rFonts w:ascii="Times New Roman" w:hAnsi="Times New Roman" w:cs="Times New Roman"/>
          <w:sz w:val="22"/>
          <w:szCs w:val="22"/>
        </w:rPr>
        <w:footnoteRef/>
      </w:r>
      <w:r w:rsidRPr="00994747">
        <w:rPr>
          <w:rFonts w:ascii="Times New Roman" w:hAnsi="Times New Roman" w:cs="Times New Roman"/>
          <w:sz w:val="22"/>
          <w:szCs w:val="22"/>
        </w:rPr>
        <w:t xml:space="preserve"> </w:t>
      </w:r>
      <w:r w:rsidR="006D199B">
        <w:rPr>
          <w:rFonts w:ascii="Times New Roman" w:hAnsi="Times New Roman" w:cs="Times New Roman"/>
          <w:sz w:val="22"/>
          <w:szCs w:val="22"/>
        </w:rPr>
        <w:tab/>
      </w:r>
      <w:r w:rsidR="00643399" w:rsidRPr="00994747">
        <w:rPr>
          <w:rFonts w:ascii="Times New Roman" w:hAnsi="Times New Roman" w:cs="Times New Roman"/>
          <w:sz w:val="22"/>
          <w:szCs w:val="22"/>
        </w:rPr>
        <w:t xml:space="preserve">ETI </w:t>
      </w:r>
      <w:r w:rsidRPr="00994747">
        <w:rPr>
          <w:rFonts w:ascii="Times New Roman" w:hAnsi="Times New Roman" w:cs="Times New Roman"/>
          <w:sz w:val="22"/>
          <w:szCs w:val="22"/>
        </w:rPr>
        <w:t xml:space="preserve">Objection at </w:t>
      </w:r>
      <w:r w:rsidR="00643399" w:rsidRPr="00994747">
        <w:rPr>
          <w:rFonts w:ascii="Times New Roman" w:hAnsi="Times New Roman" w:cs="Times New Roman"/>
          <w:sz w:val="22"/>
          <w:szCs w:val="22"/>
        </w:rPr>
        <w:t>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211C0"/>
    <w:multiLevelType w:val="hybridMultilevel"/>
    <w:tmpl w:val="5C3E325C"/>
    <w:lvl w:ilvl="0" w:tplc="0A0269B4">
      <w:start w:val="1"/>
      <w:numFmt w:val="upperRoman"/>
      <w:pStyle w:val="Heading1"/>
      <w:lvlText w:val="%1."/>
      <w:lvlJc w:val="right"/>
      <w:pPr>
        <w:ind w:left="72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563FB6"/>
    <w:multiLevelType w:val="hybridMultilevel"/>
    <w:tmpl w:val="E6168D12"/>
    <w:lvl w:ilvl="0" w:tplc="A54844CA">
      <w:start w:val="1"/>
      <w:numFmt w:val="decimal"/>
      <w:pStyle w:val="Heading3"/>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36C1EA1"/>
    <w:multiLevelType w:val="hybridMultilevel"/>
    <w:tmpl w:val="C6D21C32"/>
    <w:lvl w:ilvl="0" w:tplc="83A6F828">
      <w:start w:val="1"/>
      <w:numFmt w:val="upperRoman"/>
      <w:lvlText w:val="%1."/>
      <w:lvlJc w:val="left"/>
      <w:pPr>
        <w:ind w:left="1080" w:hanging="72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A82414"/>
    <w:multiLevelType w:val="hybridMultilevel"/>
    <w:tmpl w:val="E9C83FF4"/>
    <w:lvl w:ilvl="0" w:tplc="262827F4">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E90241E"/>
    <w:multiLevelType w:val="hybridMultilevel"/>
    <w:tmpl w:val="80746736"/>
    <w:lvl w:ilvl="0" w:tplc="C05AB368">
      <w:start w:val="1"/>
      <w:numFmt w:val="upperRoman"/>
      <w:lvlText w:val="%1."/>
      <w:lvlJc w:val="right"/>
      <w:pPr>
        <w:ind w:left="72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E33CC6"/>
    <w:multiLevelType w:val="hybridMultilevel"/>
    <w:tmpl w:val="72D60F94"/>
    <w:lvl w:ilvl="0" w:tplc="4EAA2794">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4F13CD"/>
    <w:multiLevelType w:val="hybridMultilevel"/>
    <w:tmpl w:val="C1602620"/>
    <w:lvl w:ilvl="0" w:tplc="0AFA9172">
      <w:start w:val="1"/>
      <w:numFmt w:val="decimal"/>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4268116">
    <w:abstractNumId w:val="2"/>
  </w:num>
  <w:num w:numId="2" w16cid:durableId="933903997">
    <w:abstractNumId w:val="6"/>
  </w:num>
  <w:num w:numId="3" w16cid:durableId="1197163698">
    <w:abstractNumId w:val="0"/>
  </w:num>
  <w:num w:numId="4" w16cid:durableId="296490229">
    <w:abstractNumId w:val="3"/>
  </w:num>
  <w:num w:numId="5" w16cid:durableId="984120965">
    <w:abstractNumId w:val="1"/>
  </w:num>
  <w:num w:numId="6" w16cid:durableId="18162907">
    <w:abstractNumId w:val="4"/>
  </w:num>
  <w:num w:numId="7" w16cid:durableId="531386895">
    <w:abstractNumId w:val="5"/>
  </w:num>
  <w:num w:numId="8" w16cid:durableId="1630041287">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81E"/>
    <w:rsid w:val="00005225"/>
    <w:rsid w:val="00027908"/>
    <w:rsid w:val="000319C6"/>
    <w:rsid w:val="0004242E"/>
    <w:rsid w:val="00042507"/>
    <w:rsid w:val="0004288A"/>
    <w:rsid w:val="000438FB"/>
    <w:rsid w:val="0004406D"/>
    <w:rsid w:val="00051D29"/>
    <w:rsid w:val="00055282"/>
    <w:rsid w:val="0006168D"/>
    <w:rsid w:val="00061BE6"/>
    <w:rsid w:val="00061D25"/>
    <w:rsid w:val="00063790"/>
    <w:rsid w:val="000650CF"/>
    <w:rsid w:val="000659C8"/>
    <w:rsid w:val="00074E6C"/>
    <w:rsid w:val="00086181"/>
    <w:rsid w:val="00097866"/>
    <w:rsid w:val="000A1952"/>
    <w:rsid w:val="000B48F7"/>
    <w:rsid w:val="000B5DD1"/>
    <w:rsid w:val="000B5F21"/>
    <w:rsid w:val="000D1CFD"/>
    <w:rsid w:val="000D367A"/>
    <w:rsid w:val="000D72A0"/>
    <w:rsid w:val="000F441C"/>
    <w:rsid w:val="000F7725"/>
    <w:rsid w:val="00106951"/>
    <w:rsid w:val="00110253"/>
    <w:rsid w:val="00113460"/>
    <w:rsid w:val="00116007"/>
    <w:rsid w:val="00137DF3"/>
    <w:rsid w:val="00141581"/>
    <w:rsid w:val="0014236B"/>
    <w:rsid w:val="00142A23"/>
    <w:rsid w:val="0014579F"/>
    <w:rsid w:val="001547F7"/>
    <w:rsid w:val="00155450"/>
    <w:rsid w:val="00157106"/>
    <w:rsid w:val="00166310"/>
    <w:rsid w:val="0017207A"/>
    <w:rsid w:val="00173CD7"/>
    <w:rsid w:val="00176B6B"/>
    <w:rsid w:val="00177E62"/>
    <w:rsid w:val="0018137E"/>
    <w:rsid w:val="001814BF"/>
    <w:rsid w:val="001821AB"/>
    <w:rsid w:val="0018263F"/>
    <w:rsid w:val="00193662"/>
    <w:rsid w:val="001A01CB"/>
    <w:rsid w:val="001A3A47"/>
    <w:rsid w:val="001A78B1"/>
    <w:rsid w:val="001B056B"/>
    <w:rsid w:val="001B096C"/>
    <w:rsid w:val="001B1DA7"/>
    <w:rsid w:val="001B6EED"/>
    <w:rsid w:val="001B711E"/>
    <w:rsid w:val="001C038C"/>
    <w:rsid w:val="001C423F"/>
    <w:rsid w:val="001C4CC5"/>
    <w:rsid w:val="001D1155"/>
    <w:rsid w:val="001D445B"/>
    <w:rsid w:val="001D56FC"/>
    <w:rsid w:val="001E50F6"/>
    <w:rsid w:val="001F64CF"/>
    <w:rsid w:val="0020405D"/>
    <w:rsid w:val="002122EE"/>
    <w:rsid w:val="00212893"/>
    <w:rsid w:val="0021483F"/>
    <w:rsid w:val="002156C3"/>
    <w:rsid w:val="0022008B"/>
    <w:rsid w:val="00220659"/>
    <w:rsid w:val="002214B4"/>
    <w:rsid w:val="00223E97"/>
    <w:rsid w:val="00224D18"/>
    <w:rsid w:val="00227176"/>
    <w:rsid w:val="0023122C"/>
    <w:rsid w:val="002337BC"/>
    <w:rsid w:val="00235D7E"/>
    <w:rsid w:val="002366B6"/>
    <w:rsid w:val="00240286"/>
    <w:rsid w:val="00241BA4"/>
    <w:rsid w:val="00243C64"/>
    <w:rsid w:val="00250C76"/>
    <w:rsid w:val="00251393"/>
    <w:rsid w:val="002547FE"/>
    <w:rsid w:val="002574F1"/>
    <w:rsid w:val="00260BFD"/>
    <w:rsid w:val="00263582"/>
    <w:rsid w:val="00263693"/>
    <w:rsid w:val="00275B3B"/>
    <w:rsid w:val="00287A78"/>
    <w:rsid w:val="002922E3"/>
    <w:rsid w:val="00294D4A"/>
    <w:rsid w:val="002A36D7"/>
    <w:rsid w:val="002A668A"/>
    <w:rsid w:val="002B069F"/>
    <w:rsid w:val="002B0D04"/>
    <w:rsid w:val="002C5DD3"/>
    <w:rsid w:val="002D0072"/>
    <w:rsid w:val="002D2036"/>
    <w:rsid w:val="002E1E15"/>
    <w:rsid w:val="002F4437"/>
    <w:rsid w:val="0030170A"/>
    <w:rsid w:val="00305033"/>
    <w:rsid w:val="00305EF5"/>
    <w:rsid w:val="00323712"/>
    <w:rsid w:val="003254D0"/>
    <w:rsid w:val="003343FC"/>
    <w:rsid w:val="00334694"/>
    <w:rsid w:val="003404D8"/>
    <w:rsid w:val="00342283"/>
    <w:rsid w:val="00344F7A"/>
    <w:rsid w:val="00345B24"/>
    <w:rsid w:val="0034655F"/>
    <w:rsid w:val="00346D3B"/>
    <w:rsid w:val="00346FA0"/>
    <w:rsid w:val="003529DB"/>
    <w:rsid w:val="00353F9E"/>
    <w:rsid w:val="00354E3C"/>
    <w:rsid w:val="003665C0"/>
    <w:rsid w:val="0037266B"/>
    <w:rsid w:val="00372B35"/>
    <w:rsid w:val="00372C54"/>
    <w:rsid w:val="00384CE1"/>
    <w:rsid w:val="00385D1D"/>
    <w:rsid w:val="00385EA1"/>
    <w:rsid w:val="0038780D"/>
    <w:rsid w:val="00394C2B"/>
    <w:rsid w:val="00397C11"/>
    <w:rsid w:val="003A59F5"/>
    <w:rsid w:val="003B0D08"/>
    <w:rsid w:val="003B1F87"/>
    <w:rsid w:val="003B62CA"/>
    <w:rsid w:val="003C3706"/>
    <w:rsid w:val="003C4AE1"/>
    <w:rsid w:val="003D4C5D"/>
    <w:rsid w:val="003D77DE"/>
    <w:rsid w:val="003E256C"/>
    <w:rsid w:val="003E27D8"/>
    <w:rsid w:val="003E29B0"/>
    <w:rsid w:val="003F73A1"/>
    <w:rsid w:val="00403E2D"/>
    <w:rsid w:val="00411E39"/>
    <w:rsid w:val="004144BD"/>
    <w:rsid w:val="00414B36"/>
    <w:rsid w:val="00421928"/>
    <w:rsid w:val="00425B0E"/>
    <w:rsid w:val="00431501"/>
    <w:rsid w:val="0043343D"/>
    <w:rsid w:val="00442419"/>
    <w:rsid w:val="0044375B"/>
    <w:rsid w:val="00444AFB"/>
    <w:rsid w:val="00450FF0"/>
    <w:rsid w:val="004546EC"/>
    <w:rsid w:val="00460CD6"/>
    <w:rsid w:val="00464389"/>
    <w:rsid w:val="00464817"/>
    <w:rsid w:val="0046568E"/>
    <w:rsid w:val="004663C5"/>
    <w:rsid w:val="00474B7D"/>
    <w:rsid w:val="00475DD1"/>
    <w:rsid w:val="0048115D"/>
    <w:rsid w:val="00485579"/>
    <w:rsid w:val="004900E8"/>
    <w:rsid w:val="004A269C"/>
    <w:rsid w:val="004A4E04"/>
    <w:rsid w:val="004A5743"/>
    <w:rsid w:val="004B20CE"/>
    <w:rsid w:val="004B33BC"/>
    <w:rsid w:val="004B44A5"/>
    <w:rsid w:val="004C329A"/>
    <w:rsid w:val="004C5070"/>
    <w:rsid w:val="004C5854"/>
    <w:rsid w:val="004D02E7"/>
    <w:rsid w:val="004D1DDF"/>
    <w:rsid w:val="004D7706"/>
    <w:rsid w:val="004D7826"/>
    <w:rsid w:val="004E19F3"/>
    <w:rsid w:val="004E1BE8"/>
    <w:rsid w:val="004E3272"/>
    <w:rsid w:val="004E375A"/>
    <w:rsid w:val="004F005F"/>
    <w:rsid w:val="004F0EF3"/>
    <w:rsid w:val="004F19DA"/>
    <w:rsid w:val="004F32A3"/>
    <w:rsid w:val="004F4ED2"/>
    <w:rsid w:val="004F594D"/>
    <w:rsid w:val="0050194F"/>
    <w:rsid w:val="00505C90"/>
    <w:rsid w:val="00514F5A"/>
    <w:rsid w:val="00515740"/>
    <w:rsid w:val="0051785C"/>
    <w:rsid w:val="00525A0D"/>
    <w:rsid w:val="00531272"/>
    <w:rsid w:val="00532466"/>
    <w:rsid w:val="00537390"/>
    <w:rsid w:val="00540501"/>
    <w:rsid w:val="00556A5A"/>
    <w:rsid w:val="00560C23"/>
    <w:rsid w:val="00572467"/>
    <w:rsid w:val="005779CF"/>
    <w:rsid w:val="00590A33"/>
    <w:rsid w:val="00592E6E"/>
    <w:rsid w:val="00592F28"/>
    <w:rsid w:val="00593BB1"/>
    <w:rsid w:val="0059407E"/>
    <w:rsid w:val="0059665E"/>
    <w:rsid w:val="005A6B80"/>
    <w:rsid w:val="005A7E96"/>
    <w:rsid w:val="005B6AC4"/>
    <w:rsid w:val="005B731A"/>
    <w:rsid w:val="005C100D"/>
    <w:rsid w:val="005D785A"/>
    <w:rsid w:val="005E1C99"/>
    <w:rsid w:val="005E7017"/>
    <w:rsid w:val="005F2E6C"/>
    <w:rsid w:val="005F4723"/>
    <w:rsid w:val="00601A51"/>
    <w:rsid w:val="0060264B"/>
    <w:rsid w:val="0060732F"/>
    <w:rsid w:val="0061050A"/>
    <w:rsid w:val="00610CC9"/>
    <w:rsid w:val="00610F5C"/>
    <w:rsid w:val="00611268"/>
    <w:rsid w:val="00622264"/>
    <w:rsid w:val="00623060"/>
    <w:rsid w:val="00623CF1"/>
    <w:rsid w:val="00623EC1"/>
    <w:rsid w:val="00633D86"/>
    <w:rsid w:val="00634390"/>
    <w:rsid w:val="00637102"/>
    <w:rsid w:val="00640659"/>
    <w:rsid w:val="00643399"/>
    <w:rsid w:val="00643568"/>
    <w:rsid w:val="00655818"/>
    <w:rsid w:val="00660117"/>
    <w:rsid w:val="0066363E"/>
    <w:rsid w:val="00663A48"/>
    <w:rsid w:val="006777FF"/>
    <w:rsid w:val="00677FEA"/>
    <w:rsid w:val="00680C91"/>
    <w:rsid w:val="00683D1A"/>
    <w:rsid w:val="006874DD"/>
    <w:rsid w:val="006929B2"/>
    <w:rsid w:val="006949C3"/>
    <w:rsid w:val="0069695E"/>
    <w:rsid w:val="00696CED"/>
    <w:rsid w:val="006A1B7C"/>
    <w:rsid w:val="006A76D5"/>
    <w:rsid w:val="006B115C"/>
    <w:rsid w:val="006B20DD"/>
    <w:rsid w:val="006B3A22"/>
    <w:rsid w:val="006B6C0A"/>
    <w:rsid w:val="006C3366"/>
    <w:rsid w:val="006C385D"/>
    <w:rsid w:val="006C7A41"/>
    <w:rsid w:val="006D068A"/>
    <w:rsid w:val="006D199B"/>
    <w:rsid w:val="006D6BB6"/>
    <w:rsid w:val="006E23CB"/>
    <w:rsid w:val="006F0022"/>
    <w:rsid w:val="006F0CDD"/>
    <w:rsid w:val="006F34F6"/>
    <w:rsid w:val="006F3C86"/>
    <w:rsid w:val="006F58CA"/>
    <w:rsid w:val="006F6529"/>
    <w:rsid w:val="00717FDB"/>
    <w:rsid w:val="00723682"/>
    <w:rsid w:val="00723A65"/>
    <w:rsid w:val="00727E52"/>
    <w:rsid w:val="00730763"/>
    <w:rsid w:val="007309FA"/>
    <w:rsid w:val="0073133B"/>
    <w:rsid w:val="007378A2"/>
    <w:rsid w:val="00740730"/>
    <w:rsid w:val="00741304"/>
    <w:rsid w:val="00742784"/>
    <w:rsid w:val="00744ECD"/>
    <w:rsid w:val="00751254"/>
    <w:rsid w:val="007512D9"/>
    <w:rsid w:val="00752614"/>
    <w:rsid w:val="0075477B"/>
    <w:rsid w:val="00754A1E"/>
    <w:rsid w:val="007558D7"/>
    <w:rsid w:val="00760ACE"/>
    <w:rsid w:val="00760E95"/>
    <w:rsid w:val="00764364"/>
    <w:rsid w:val="00764812"/>
    <w:rsid w:val="007661BE"/>
    <w:rsid w:val="007662D8"/>
    <w:rsid w:val="007678F1"/>
    <w:rsid w:val="00774379"/>
    <w:rsid w:val="00777C32"/>
    <w:rsid w:val="00782626"/>
    <w:rsid w:val="00787402"/>
    <w:rsid w:val="00790177"/>
    <w:rsid w:val="00793DDF"/>
    <w:rsid w:val="007970C3"/>
    <w:rsid w:val="007A3BBA"/>
    <w:rsid w:val="007A3DE8"/>
    <w:rsid w:val="007A3FD9"/>
    <w:rsid w:val="007A4D94"/>
    <w:rsid w:val="007B3B7B"/>
    <w:rsid w:val="007B4BD6"/>
    <w:rsid w:val="007C1367"/>
    <w:rsid w:val="007C702B"/>
    <w:rsid w:val="007C747C"/>
    <w:rsid w:val="007D6F0A"/>
    <w:rsid w:val="007E75D8"/>
    <w:rsid w:val="007F124D"/>
    <w:rsid w:val="007F297E"/>
    <w:rsid w:val="007F480B"/>
    <w:rsid w:val="007F614F"/>
    <w:rsid w:val="00800B4D"/>
    <w:rsid w:val="00801691"/>
    <w:rsid w:val="008019AC"/>
    <w:rsid w:val="00801B98"/>
    <w:rsid w:val="00802CFE"/>
    <w:rsid w:val="00804056"/>
    <w:rsid w:val="00804867"/>
    <w:rsid w:val="00811BBB"/>
    <w:rsid w:val="00816238"/>
    <w:rsid w:val="00822A52"/>
    <w:rsid w:val="008275D7"/>
    <w:rsid w:val="00842457"/>
    <w:rsid w:val="00842790"/>
    <w:rsid w:val="00844DB7"/>
    <w:rsid w:val="0085200A"/>
    <w:rsid w:val="00852C16"/>
    <w:rsid w:val="008546C2"/>
    <w:rsid w:val="00862FD3"/>
    <w:rsid w:val="008636F4"/>
    <w:rsid w:val="00865A1A"/>
    <w:rsid w:val="00865C2C"/>
    <w:rsid w:val="00871BAF"/>
    <w:rsid w:val="00881366"/>
    <w:rsid w:val="00886024"/>
    <w:rsid w:val="008910F0"/>
    <w:rsid w:val="00896A68"/>
    <w:rsid w:val="008A12F6"/>
    <w:rsid w:val="008A2D40"/>
    <w:rsid w:val="008B0F8F"/>
    <w:rsid w:val="008B40DE"/>
    <w:rsid w:val="008C6619"/>
    <w:rsid w:val="008D4F93"/>
    <w:rsid w:val="008D6778"/>
    <w:rsid w:val="008D721D"/>
    <w:rsid w:val="008E3FD7"/>
    <w:rsid w:val="008E5757"/>
    <w:rsid w:val="008F0B08"/>
    <w:rsid w:val="00900CBF"/>
    <w:rsid w:val="00902AE8"/>
    <w:rsid w:val="009110BC"/>
    <w:rsid w:val="00913E69"/>
    <w:rsid w:val="00916C9B"/>
    <w:rsid w:val="00922DFF"/>
    <w:rsid w:val="009301A6"/>
    <w:rsid w:val="00930500"/>
    <w:rsid w:val="00930B66"/>
    <w:rsid w:val="00931E18"/>
    <w:rsid w:val="00932768"/>
    <w:rsid w:val="0093440D"/>
    <w:rsid w:val="009359BE"/>
    <w:rsid w:val="009359CE"/>
    <w:rsid w:val="00936D69"/>
    <w:rsid w:val="00936EF8"/>
    <w:rsid w:val="00942DF7"/>
    <w:rsid w:val="00945A2F"/>
    <w:rsid w:val="00947EBE"/>
    <w:rsid w:val="00953F14"/>
    <w:rsid w:val="00955781"/>
    <w:rsid w:val="0096309E"/>
    <w:rsid w:val="00970B99"/>
    <w:rsid w:val="00977A69"/>
    <w:rsid w:val="009822A8"/>
    <w:rsid w:val="009903CE"/>
    <w:rsid w:val="00992EFF"/>
    <w:rsid w:val="00993C80"/>
    <w:rsid w:val="00994747"/>
    <w:rsid w:val="009B206D"/>
    <w:rsid w:val="009B4805"/>
    <w:rsid w:val="009C062D"/>
    <w:rsid w:val="009C7D5F"/>
    <w:rsid w:val="009E0F51"/>
    <w:rsid w:val="009E6460"/>
    <w:rsid w:val="009F328C"/>
    <w:rsid w:val="009F34BD"/>
    <w:rsid w:val="009F3BC9"/>
    <w:rsid w:val="00A01045"/>
    <w:rsid w:val="00A0221E"/>
    <w:rsid w:val="00A03F16"/>
    <w:rsid w:val="00A10918"/>
    <w:rsid w:val="00A1269B"/>
    <w:rsid w:val="00A404EC"/>
    <w:rsid w:val="00A44A43"/>
    <w:rsid w:val="00A515C8"/>
    <w:rsid w:val="00A65A8F"/>
    <w:rsid w:val="00A706B6"/>
    <w:rsid w:val="00A70E3A"/>
    <w:rsid w:val="00A757C7"/>
    <w:rsid w:val="00A76731"/>
    <w:rsid w:val="00A87CA2"/>
    <w:rsid w:val="00A92606"/>
    <w:rsid w:val="00A96212"/>
    <w:rsid w:val="00AA0B7C"/>
    <w:rsid w:val="00AA1253"/>
    <w:rsid w:val="00AB0151"/>
    <w:rsid w:val="00AB3908"/>
    <w:rsid w:val="00AB5DEE"/>
    <w:rsid w:val="00AB6B1F"/>
    <w:rsid w:val="00AC281E"/>
    <w:rsid w:val="00AC3C98"/>
    <w:rsid w:val="00AD000D"/>
    <w:rsid w:val="00AD5A82"/>
    <w:rsid w:val="00AE6B15"/>
    <w:rsid w:val="00AE77E9"/>
    <w:rsid w:val="00AE790F"/>
    <w:rsid w:val="00AF0C52"/>
    <w:rsid w:val="00AF5153"/>
    <w:rsid w:val="00B07F78"/>
    <w:rsid w:val="00B11408"/>
    <w:rsid w:val="00B25760"/>
    <w:rsid w:val="00B307B9"/>
    <w:rsid w:val="00B33C43"/>
    <w:rsid w:val="00B406BE"/>
    <w:rsid w:val="00B42B5B"/>
    <w:rsid w:val="00B4381E"/>
    <w:rsid w:val="00B442C8"/>
    <w:rsid w:val="00B4434B"/>
    <w:rsid w:val="00B46951"/>
    <w:rsid w:val="00B47D73"/>
    <w:rsid w:val="00B47EAA"/>
    <w:rsid w:val="00B57EFE"/>
    <w:rsid w:val="00B70147"/>
    <w:rsid w:val="00B711BC"/>
    <w:rsid w:val="00B803ED"/>
    <w:rsid w:val="00B80A2C"/>
    <w:rsid w:val="00B81A80"/>
    <w:rsid w:val="00B907F4"/>
    <w:rsid w:val="00B91886"/>
    <w:rsid w:val="00B934F4"/>
    <w:rsid w:val="00BA6EB6"/>
    <w:rsid w:val="00BB1925"/>
    <w:rsid w:val="00BB3314"/>
    <w:rsid w:val="00BB6559"/>
    <w:rsid w:val="00BC4289"/>
    <w:rsid w:val="00BC5B2B"/>
    <w:rsid w:val="00BC7963"/>
    <w:rsid w:val="00BD1149"/>
    <w:rsid w:val="00BD3A06"/>
    <w:rsid w:val="00BD47E2"/>
    <w:rsid w:val="00BE2B7E"/>
    <w:rsid w:val="00BE61D6"/>
    <w:rsid w:val="00BE6CF1"/>
    <w:rsid w:val="00BF095C"/>
    <w:rsid w:val="00BF0B21"/>
    <w:rsid w:val="00BF24F1"/>
    <w:rsid w:val="00C010DD"/>
    <w:rsid w:val="00C07787"/>
    <w:rsid w:val="00C11FAC"/>
    <w:rsid w:val="00C128D1"/>
    <w:rsid w:val="00C15D0B"/>
    <w:rsid w:val="00C30679"/>
    <w:rsid w:val="00C33DA9"/>
    <w:rsid w:val="00C363AE"/>
    <w:rsid w:val="00C47B66"/>
    <w:rsid w:val="00C52FBF"/>
    <w:rsid w:val="00C5498E"/>
    <w:rsid w:val="00C604FF"/>
    <w:rsid w:val="00C60CED"/>
    <w:rsid w:val="00C65B64"/>
    <w:rsid w:val="00C736CF"/>
    <w:rsid w:val="00C745A9"/>
    <w:rsid w:val="00C763C2"/>
    <w:rsid w:val="00C80AC3"/>
    <w:rsid w:val="00C85807"/>
    <w:rsid w:val="00C9116B"/>
    <w:rsid w:val="00C96D22"/>
    <w:rsid w:val="00C9771B"/>
    <w:rsid w:val="00CA0041"/>
    <w:rsid w:val="00CA793E"/>
    <w:rsid w:val="00CB0659"/>
    <w:rsid w:val="00CB2F06"/>
    <w:rsid w:val="00CB4D45"/>
    <w:rsid w:val="00CB5458"/>
    <w:rsid w:val="00CB6B79"/>
    <w:rsid w:val="00CC1826"/>
    <w:rsid w:val="00CC2B73"/>
    <w:rsid w:val="00CC4C8F"/>
    <w:rsid w:val="00CD04CD"/>
    <w:rsid w:val="00CD1AD0"/>
    <w:rsid w:val="00CD1E72"/>
    <w:rsid w:val="00CD2066"/>
    <w:rsid w:val="00CD2DFE"/>
    <w:rsid w:val="00CD318D"/>
    <w:rsid w:val="00CD395C"/>
    <w:rsid w:val="00CD3C98"/>
    <w:rsid w:val="00CD51E9"/>
    <w:rsid w:val="00CE0C6D"/>
    <w:rsid w:val="00CE0C84"/>
    <w:rsid w:val="00CE1BBA"/>
    <w:rsid w:val="00CE494C"/>
    <w:rsid w:val="00CE4FD5"/>
    <w:rsid w:val="00CE641E"/>
    <w:rsid w:val="00CE773D"/>
    <w:rsid w:val="00CF0EDF"/>
    <w:rsid w:val="00CF3A0B"/>
    <w:rsid w:val="00CF59B3"/>
    <w:rsid w:val="00CF709C"/>
    <w:rsid w:val="00D01668"/>
    <w:rsid w:val="00D03D81"/>
    <w:rsid w:val="00D071E4"/>
    <w:rsid w:val="00D12C27"/>
    <w:rsid w:val="00D20BC6"/>
    <w:rsid w:val="00D20E75"/>
    <w:rsid w:val="00D24807"/>
    <w:rsid w:val="00D27EFE"/>
    <w:rsid w:val="00D27F22"/>
    <w:rsid w:val="00D32161"/>
    <w:rsid w:val="00D43976"/>
    <w:rsid w:val="00D447A0"/>
    <w:rsid w:val="00D54F62"/>
    <w:rsid w:val="00D5515C"/>
    <w:rsid w:val="00D57B61"/>
    <w:rsid w:val="00D62E0F"/>
    <w:rsid w:val="00D63BC3"/>
    <w:rsid w:val="00D665B2"/>
    <w:rsid w:val="00D71399"/>
    <w:rsid w:val="00D80CE0"/>
    <w:rsid w:val="00D901A0"/>
    <w:rsid w:val="00D90958"/>
    <w:rsid w:val="00D94B47"/>
    <w:rsid w:val="00DA3E71"/>
    <w:rsid w:val="00DB0544"/>
    <w:rsid w:val="00DB308B"/>
    <w:rsid w:val="00DB5F8D"/>
    <w:rsid w:val="00DC1745"/>
    <w:rsid w:val="00DC4DCE"/>
    <w:rsid w:val="00DD59BB"/>
    <w:rsid w:val="00DD59CC"/>
    <w:rsid w:val="00DE30A9"/>
    <w:rsid w:val="00DE7A9F"/>
    <w:rsid w:val="00DF12F3"/>
    <w:rsid w:val="00DF1584"/>
    <w:rsid w:val="00DF1AA5"/>
    <w:rsid w:val="00DF5376"/>
    <w:rsid w:val="00E04BBE"/>
    <w:rsid w:val="00E07C1D"/>
    <w:rsid w:val="00E134F7"/>
    <w:rsid w:val="00E149E5"/>
    <w:rsid w:val="00E153FE"/>
    <w:rsid w:val="00E219FA"/>
    <w:rsid w:val="00E2277D"/>
    <w:rsid w:val="00E24F34"/>
    <w:rsid w:val="00E35113"/>
    <w:rsid w:val="00E41977"/>
    <w:rsid w:val="00E42F49"/>
    <w:rsid w:val="00E44A5D"/>
    <w:rsid w:val="00E477D9"/>
    <w:rsid w:val="00E50358"/>
    <w:rsid w:val="00E549C2"/>
    <w:rsid w:val="00E57931"/>
    <w:rsid w:val="00E60AA2"/>
    <w:rsid w:val="00E64A0A"/>
    <w:rsid w:val="00E64BBF"/>
    <w:rsid w:val="00E83832"/>
    <w:rsid w:val="00E86563"/>
    <w:rsid w:val="00EA1578"/>
    <w:rsid w:val="00EA35C7"/>
    <w:rsid w:val="00EA496D"/>
    <w:rsid w:val="00EA4FA1"/>
    <w:rsid w:val="00EB04C8"/>
    <w:rsid w:val="00EB51D1"/>
    <w:rsid w:val="00EB613B"/>
    <w:rsid w:val="00EB6900"/>
    <w:rsid w:val="00ED2458"/>
    <w:rsid w:val="00ED6F3D"/>
    <w:rsid w:val="00ED7571"/>
    <w:rsid w:val="00EE17E2"/>
    <w:rsid w:val="00EE20B2"/>
    <w:rsid w:val="00EF03B1"/>
    <w:rsid w:val="00F0153D"/>
    <w:rsid w:val="00F04C59"/>
    <w:rsid w:val="00F050F5"/>
    <w:rsid w:val="00F05472"/>
    <w:rsid w:val="00F0783E"/>
    <w:rsid w:val="00F10051"/>
    <w:rsid w:val="00F12B68"/>
    <w:rsid w:val="00F13086"/>
    <w:rsid w:val="00F14D66"/>
    <w:rsid w:val="00F15115"/>
    <w:rsid w:val="00F278CB"/>
    <w:rsid w:val="00F332AA"/>
    <w:rsid w:val="00F50CCF"/>
    <w:rsid w:val="00F557BA"/>
    <w:rsid w:val="00F55A6A"/>
    <w:rsid w:val="00F55DF0"/>
    <w:rsid w:val="00F665A9"/>
    <w:rsid w:val="00F72726"/>
    <w:rsid w:val="00F759CC"/>
    <w:rsid w:val="00F80FAD"/>
    <w:rsid w:val="00F82AC0"/>
    <w:rsid w:val="00F9158B"/>
    <w:rsid w:val="00F91CC8"/>
    <w:rsid w:val="00F92E80"/>
    <w:rsid w:val="00F96E17"/>
    <w:rsid w:val="00F9788B"/>
    <w:rsid w:val="00FA0E03"/>
    <w:rsid w:val="00FA2F1A"/>
    <w:rsid w:val="00FA38E3"/>
    <w:rsid w:val="00FA49A1"/>
    <w:rsid w:val="00FA6074"/>
    <w:rsid w:val="00FB3835"/>
    <w:rsid w:val="00FC0FB5"/>
    <w:rsid w:val="00FC3196"/>
    <w:rsid w:val="00FC61E9"/>
    <w:rsid w:val="00FD2309"/>
    <w:rsid w:val="00FE11B0"/>
    <w:rsid w:val="00FE6498"/>
    <w:rsid w:val="00FF1CBE"/>
    <w:rsid w:val="00FF2FCB"/>
    <w:rsid w:val="00FF44B5"/>
    <w:rsid w:val="00FF6832"/>
    <w:rsid w:val="00FF6B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860715"/>
  <w14:defaultImageDpi w14:val="300"/>
  <w15:docId w15:val="{EAF48929-DF78-E04F-966F-FB4EEB1DD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F78"/>
    <w:pPr>
      <w:spacing w:line="480" w:lineRule="auto"/>
      <w:ind w:firstLine="720"/>
    </w:pPr>
    <w:rPr>
      <w:rFonts w:eastAsia="Times New Roman" w:cs="Times New Roman"/>
    </w:rPr>
  </w:style>
  <w:style w:type="paragraph" w:styleId="Heading1">
    <w:name w:val="heading 1"/>
    <w:basedOn w:val="Normal"/>
    <w:next w:val="Normal"/>
    <w:link w:val="Heading1Char"/>
    <w:uiPriority w:val="9"/>
    <w:qFormat/>
    <w:rsid w:val="007A3DE8"/>
    <w:pPr>
      <w:keepNext/>
      <w:keepLines/>
      <w:numPr>
        <w:numId w:val="3"/>
      </w:numPr>
      <w:spacing w:before="240" w:after="240" w:line="240" w:lineRule="auto"/>
      <w:ind w:left="1440" w:right="720" w:hanging="720"/>
      <w:outlineLvl w:val="0"/>
    </w:pPr>
    <w:rPr>
      <w:rFonts w:eastAsiaTheme="majorEastAsia" w:cstheme="majorBidi"/>
      <w:b/>
      <w:color w:val="000000" w:themeColor="text1"/>
      <w:szCs w:val="32"/>
    </w:rPr>
  </w:style>
  <w:style w:type="paragraph" w:styleId="Heading2">
    <w:name w:val="heading 2"/>
    <w:basedOn w:val="Normal"/>
    <w:next w:val="Normal"/>
    <w:link w:val="Heading2Char"/>
    <w:uiPriority w:val="9"/>
    <w:unhideWhenUsed/>
    <w:qFormat/>
    <w:rsid w:val="00A96212"/>
    <w:pPr>
      <w:keepNext/>
      <w:keepLines/>
      <w:numPr>
        <w:numId w:val="7"/>
      </w:numPr>
      <w:spacing w:before="240" w:after="240" w:line="240" w:lineRule="auto"/>
      <w:ind w:right="720"/>
      <w:jc w:val="center"/>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unhideWhenUsed/>
    <w:qFormat/>
    <w:rsid w:val="00AB0151"/>
    <w:pPr>
      <w:widowControl w:val="0"/>
      <w:numPr>
        <w:numId w:val="5"/>
      </w:numPr>
      <w:spacing w:before="240" w:after="240"/>
      <w:ind w:hanging="720"/>
      <w:outlineLvl w:val="2"/>
    </w:pPr>
    <w:rPr>
      <w:rFonts w:asciiTheme="majorHAnsi" w:eastAsiaTheme="majorEastAsia" w:hAnsiTheme="majorHAnsi" w:cstheme="majorBidi"/>
      <w:color w:val="000000" w:themeColor="text1"/>
    </w:rPr>
  </w:style>
  <w:style w:type="paragraph" w:styleId="Heading5">
    <w:name w:val="heading 5"/>
    <w:basedOn w:val="Normal"/>
    <w:link w:val="Heading5Char"/>
    <w:uiPriority w:val="9"/>
    <w:qFormat/>
    <w:rsid w:val="007D6F0A"/>
    <w:pPr>
      <w:spacing w:before="100" w:beforeAutospacing="1" w:after="100" w:afterAutospacing="1"/>
      <w:outlineLvl w:val="4"/>
    </w:pPr>
    <w:rPr>
      <w:b/>
      <w:bCs/>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207A"/>
    <w:rPr>
      <w:color w:val="0000FF" w:themeColor="hyperlink"/>
      <w:u w:val="single"/>
    </w:rPr>
  </w:style>
  <w:style w:type="table" w:styleId="TableGrid">
    <w:name w:val="Table Grid"/>
    <w:basedOn w:val="TableNormal"/>
    <w:uiPriority w:val="59"/>
    <w:rsid w:val="0017207A"/>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Footnote Text Char Char,Footnote Text Char2 Char,Footnote Text Char Char Char,Footnote Text Char2 Char Char Char,Footnote Text Char Char Char Char Char,Footnote Text Char2 Char Char Char Char1 Char,fn"/>
    <w:basedOn w:val="Normal"/>
    <w:link w:val="FootnoteTextChar"/>
    <w:uiPriority w:val="99"/>
    <w:unhideWhenUsed/>
    <w:rsid w:val="00CE0C84"/>
    <w:rPr>
      <w:rFonts w:asciiTheme="minorHAnsi" w:eastAsiaTheme="minorEastAsia" w:hAnsiTheme="minorHAnsi" w:cstheme="minorBidi"/>
      <w:lang w:eastAsia="ja-JP"/>
    </w:rPr>
  </w:style>
  <w:style w:type="character" w:customStyle="1" w:styleId="FootnoteTextChar">
    <w:name w:val="Footnote Text Char"/>
    <w:aliases w:val="Footnote Text Char1 Char,Footnote Text Char Char Char1,Footnote Text Char2 Char Char,Footnote Text Char Char Char Char,Footnote Text Char2 Char Char Char Char,Footnote Text Char Char Char Char Char Char,fn Char"/>
    <w:basedOn w:val="DefaultParagraphFont"/>
    <w:link w:val="FootnoteText"/>
    <w:uiPriority w:val="99"/>
    <w:rsid w:val="00CE0C84"/>
    <w:rPr>
      <w:rFonts w:asciiTheme="minorHAnsi" w:hAnsiTheme="minorHAnsi"/>
      <w:lang w:eastAsia="ja-JP"/>
    </w:rPr>
  </w:style>
  <w:style w:type="character" w:styleId="FootnoteReference">
    <w:name w:val="footnote reference"/>
    <w:aliases w:val="o,fr,o1,o2,o3,o4,o5,o6,o11,o21,o7"/>
    <w:basedOn w:val="DefaultParagraphFont"/>
    <w:uiPriority w:val="99"/>
    <w:unhideWhenUsed/>
    <w:rsid w:val="00CE0C84"/>
    <w:rPr>
      <w:vertAlign w:val="superscript"/>
    </w:rPr>
  </w:style>
  <w:style w:type="character" w:customStyle="1" w:styleId="Heading5Char">
    <w:name w:val="Heading 5 Char"/>
    <w:basedOn w:val="DefaultParagraphFont"/>
    <w:link w:val="Heading5"/>
    <w:uiPriority w:val="9"/>
    <w:rsid w:val="007D6F0A"/>
    <w:rPr>
      <w:rFonts w:eastAsia="Times New Roman" w:cs="Times New Roman"/>
      <w:b/>
      <w:bCs/>
      <w:sz w:val="20"/>
      <w:szCs w:val="20"/>
      <w:lang w:eastAsia="ja-JP"/>
    </w:rPr>
  </w:style>
  <w:style w:type="table" w:customStyle="1" w:styleId="TableGrid1">
    <w:name w:val="Table Grid1"/>
    <w:basedOn w:val="TableNormal"/>
    <w:next w:val="TableGrid"/>
    <w:uiPriority w:val="59"/>
    <w:rsid w:val="006F6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F652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6529"/>
    <w:rPr>
      <w:rFonts w:ascii="Lucida Grande" w:hAnsi="Lucida Grande" w:cs="Lucida Grande"/>
      <w:sz w:val="18"/>
      <w:szCs w:val="18"/>
    </w:rPr>
  </w:style>
  <w:style w:type="paragraph" w:styleId="Footer">
    <w:name w:val="footer"/>
    <w:basedOn w:val="Normal"/>
    <w:link w:val="FooterChar"/>
    <w:uiPriority w:val="99"/>
    <w:unhideWhenUsed/>
    <w:rsid w:val="008636F4"/>
    <w:pPr>
      <w:tabs>
        <w:tab w:val="center" w:pos="4320"/>
        <w:tab w:val="right" w:pos="8640"/>
      </w:tabs>
    </w:pPr>
    <w:rPr>
      <w:rFonts w:asciiTheme="minorHAnsi" w:eastAsiaTheme="minorEastAsia" w:hAnsiTheme="minorHAnsi" w:cstheme="minorBidi"/>
    </w:rPr>
  </w:style>
  <w:style w:type="character" w:customStyle="1" w:styleId="FooterChar">
    <w:name w:val="Footer Char"/>
    <w:basedOn w:val="DefaultParagraphFont"/>
    <w:link w:val="Footer"/>
    <w:uiPriority w:val="99"/>
    <w:rsid w:val="008636F4"/>
    <w:rPr>
      <w:rFonts w:asciiTheme="minorHAnsi" w:hAnsiTheme="minorHAnsi"/>
    </w:rPr>
  </w:style>
  <w:style w:type="character" w:styleId="PageNumber">
    <w:name w:val="page number"/>
    <w:basedOn w:val="DefaultParagraphFont"/>
    <w:uiPriority w:val="99"/>
    <w:semiHidden/>
    <w:unhideWhenUsed/>
    <w:rsid w:val="008636F4"/>
  </w:style>
  <w:style w:type="paragraph" w:styleId="Header">
    <w:name w:val="header"/>
    <w:basedOn w:val="Normal"/>
    <w:link w:val="HeaderChar"/>
    <w:uiPriority w:val="99"/>
    <w:unhideWhenUsed/>
    <w:rsid w:val="008636F4"/>
    <w:pPr>
      <w:tabs>
        <w:tab w:val="center" w:pos="4320"/>
        <w:tab w:val="right" w:pos="864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8636F4"/>
    <w:rPr>
      <w:rFonts w:asciiTheme="minorHAnsi" w:hAnsiTheme="minorHAnsi"/>
    </w:rPr>
  </w:style>
  <w:style w:type="character" w:styleId="UnresolvedMention">
    <w:name w:val="Unresolved Mention"/>
    <w:basedOn w:val="DefaultParagraphFont"/>
    <w:uiPriority w:val="99"/>
    <w:semiHidden/>
    <w:unhideWhenUsed/>
    <w:rsid w:val="00431501"/>
    <w:rPr>
      <w:color w:val="605E5C"/>
      <w:shd w:val="clear" w:color="auto" w:fill="E1DFDD"/>
    </w:rPr>
  </w:style>
  <w:style w:type="paragraph" w:styleId="ListParagraph">
    <w:name w:val="List Paragraph"/>
    <w:basedOn w:val="Normal"/>
    <w:uiPriority w:val="34"/>
    <w:qFormat/>
    <w:rsid w:val="00485579"/>
    <w:pPr>
      <w:ind w:left="720"/>
      <w:contextualSpacing/>
    </w:pPr>
  </w:style>
  <w:style w:type="character" w:styleId="CommentReference">
    <w:name w:val="annotation reference"/>
    <w:basedOn w:val="DefaultParagraphFont"/>
    <w:uiPriority w:val="99"/>
    <w:semiHidden/>
    <w:unhideWhenUsed/>
    <w:rsid w:val="00764812"/>
    <w:rPr>
      <w:sz w:val="16"/>
      <w:szCs w:val="16"/>
    </w:rPr>
  </w:style>
  <w:style w:type="paragraph" w:styleId="CommentText">
    <w:name w:val="annotation text"/>
    <w:basedOn w:val="Normal"/>
    <w:link w:val="CommentTextChar"/>
    <w:uiPriority w:val="99"/>
    <w:semiHidden/>
    <w:unhideWhenUsed/>
    <w:rsid w:val="00764812"/>
    <w:rPr>
      <w:sz w:val="20"/>
      <w:szCs w:val="20"/>
    </w:rPr>
  </w:style>
  <w:style w:type="character" w:customStyle="1" w:styleId="CommentTextChar">
    <w:name w:val="Comment Text Char"/>
    <w:basedOn w:val="DefaultParagraphFont"/>
    <w:link w:val="CommentText"/>
    <w:uiPriority w:val="99"/>
    <w:semiHidden/>
    <w:rsid w:val="00764812"/>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64812"/>
    <w:rPr>
      <w:b/>
      <w:bCs/>
    </w:rPr>
  </w:style>
  <w:style w:type="character" w:customStyle="1" w:styleId="CommentSubjectChar">
    <w:name w:val="Comment Subject Char"/>
    <w:basedOn w:val="CommentTextChar"/>
    <w:link w:val="CommentSubject"/>
    <w:uiPriority w:val="99"/>
    <w:semiHidden/>
    <w:rsid w:val="00764812"/>
    <w:rPr>
      <w:rFonts w:eastAsia="Times New Roman" w:cs="Times New Roman"/>
      <w:b/>
      <w:bCs/>
      <w:sz w:val="20"/>
      <w:szCs w:val="20"/>
    </w:rPr>
  </w:style>
  <w:style w:type="paragraph" w:styleId="Revision">
    <w:name w:val="Revision"/>
    <w:hidden/>
    <w:uiPriority w:val="99"/>
    <w:semiHidden/>
    <w:rsid w:val="00EB04C8"/>
    <w:rPr>
      <w:rFonts w:eastAsia="Times New Roman" w:cs="Times New Roman"/>
    </w:rPr>
  </w:style>
  <w:style w:type="character" w:customStyle="1" w:styleId="Heading1Char">
    <w:name w:val="Heading 1 Char"/>
    <w:basedOn w:val="DefaultParagraphFont"/>
    <w:link w:val="Heading1"/>
    <w:uiPriority w:val="9"/>
    <w:rsid w:val="007A3DE8"/>
    <w:rPr>
      <w:rFonts w:eastAsiaTheme="majorEastAsia" w:cstheme="majorBidi"/>
      <w:b/>
      <w:color w:val="000000" w:themeColor="text1"/>
      <w:szCs w:val="32"/>
    </w:rPr>
  </w:style>
  <w:style w:type="paragraph" w:customStyle="1" w:styleId="Default">
    <w:name w:val="Default"/>
    <w:rsid w:val="00D43976"/>
    <w:pPr>
      <w:autoSpaceDE w:val="0"/>
      <w:autoSpaceDN w:val="0"/>
      <w:adjustRightInd w:val="0"/>
    </w:pPr>
    <w:rPr>
      <w:rFonts w:ascii="Arial" w:hAnsi="Arial" w:cs="Arial"/>
      <w:color w:val="000000"/>
    </w:rPr>
  </w:style>
  <w:style w:type="character" w:customStyle="1" w:styleId="Heading2Char">
    <w:name w:val="Heading 2 Char"/>
    <w:basedOn w:val="DefaultParagraphFont"/>
    <w:link w:val="Heading2"/>
    <w:uiPriority w:val="9"/>
    <w:rsid w:val="00A96212"/>
    <w:rPr>
      <w:rFonts w:eastAsiaTheme="majorEastAsia" w:cstheme="majorBidi"/>
      <w:b/>
      <w:color w:val="000000" w:themeColor="text1"/>
      <w:szCs w:val="26"/>
    </w:rPr>
  </w:style>
  <w:style w:type="paragraph" w:styleId="BodyText">
    <w:name w:val="Body Text"/>
    <w:basedOn w:val="Normal"/>
    <w:link w:val="BodyTextChar"/>
    <w:uiPriority w:val="1"/>
    <w:qFormat/>
    <w:rsid w:val="009F3BC9"/>
    <w:pPr>
      <w:widowControl w:val="0"/>
      <w:autoSpaceDE w:val="0"/>
      <w:autoSpaceDN w:val="0"/>
      <w:spacing w:line="240" w:lineRule="auto"/>
      <w:ind w:firstLine="0"/>
    </w:pPr>
    <w:rPr>
      <w:sz w:val="23"/>
      <w:szCs w:val="23"/>
    </w:rPr>
  </w:style>
  <w:style w:type="character" w:customStyle="1" w:styleId="BodyTextChar">
    <w:name w:val="Body Text Char"/>
    <w:basedOn w:val="DefaultParagraphFont"/>
    <w:link w:val="BodyText"/>
    <w:uiPriority w:val="1"/>
    <w:rsid w:val="009F3BC9"/>
    <w:rPr>
      <w:rFonts w:eastAsia="Times New Roman" w:cs="Times New Roman"/>
      <w:sz w:val="23"/>
      <w:szCs w:val="23"/>
    </w:rPr>
  </w:style>
  <w:style w:type="character" w:customStyle="1" w:styleId="Heading3Char">
    <w:name w:val="Heading 3 Char"/>
    <w:basedOn w:val="DefaultParagraphFont"/>
    <w:link w:val="Heading3"/>
    <w:uiPriority w:val="9"/>
    <w:rsid w:val="00AB0151"/>
    <w:rPr>
      <w:rFonts w:asciiTheme="majorHAnsi" w:eastAsiaTheme="majorEastAsia" w:hAnsiTheme="majorHAnsi" w:cstheme="majorBidi"/>
      <w:color w:val="000000" w:themeColor="text1"/>
    </w:rPr>
  </w:style>
  <w:style w:type="character" w:styleId="FollowedHyperlink">
    <w:name w:val="FollowedHyperlink"/>
    <w:basedOn w:val="DefaultParagraphFont"/>
    <w:uiPriority w:val="99"/>
    <w:semiHidden/>
    <w:unhideWhenUsed/>
    <w:rsid w:val="0014158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721087">
      <w:bodyDiv w:val="1"/>
      <w:marLeft w:val="0"/>
      <w:marRight w:val="0"/>
      <w:marTop w:val="0"/>
      <w:marBottom w:val="0"/>
      <w:divBdr>
        <w:top w:val="none" w:sz="0" w:space="0" w:color="auto"/>
        <w:left w:val="none" w:sz="0" w:space="0" w:color="auto"/>
        <w:bottom w:val="none" w:sz="0" w:space="0" w:color="auto"/>
        <w:right w:val="none" w:sz="0" w:space="0" w:color="auto"/>
      </w:divBdr>
    </w:div>
    <w:div w:id="839082840">
      <w:bodyDiv w:val="1"/>
      <w:marLeft w:val="0"/>
      <w:marRight w:val="0"/>
      <w:marTop w:val="0"/>
      <w:marBottom w:val="0"/>
      <w:divBdr>
        <w:top w:val="none" w:sz="0" w:space="0" w:color="auto"/>
        <w:left w:val="none" w:sz="0" w:space="0" w:color="auto"/>
        <w:bottom w:val="none" w:sz="0" w:space="0" w:color="auto"/>
        <w:right w:val="none" w:sz="0" w:space="0" w:color="auto"/>
      </w:divBdr>
    </w:div>
    <w:div w:id="979728826">
      <w:bodyDiv w:val="1"/>
      <w:marLeft w:val="0"/>
      <w:marRight w:val="0"/>
      <w:marTop w:val="0"/>
      <w:marBottom w:val="0"/>
      <w:divBdr>
        <w:top w:val="none" w:sz="0" w:space="0" w:color="auto"/>
        <w:left w:val="none" w:sz="0" w:space="0" w:color="auto"/>
        <w:bottom w:val="none" w:sz="0" w:space="0" w:color="auto"/>
        <w:right w:val="none" w:sz="0" w:space="0" w:color="auto"/>
      </w:divBdr>
      <w:divsChild>
        <w:div w:id="1706252720">
          <w:marLeft w:val="0"/>
          <w:marRight w:val="0"/>
          <w:marTop w:val="0"/>
          <w:marBottom w:val="0"/>
          <w:divBdr>
            <w:top w:val="none" w:sz="0" w:space="0" w:color="auto"/>
            <w:left w:val="none" w:sz="0" w:space="0" w:color="auto"/>
            <w:bottom w:val="none" w:sz="0" w:space="0" w:color="auto"/>
            <w:right w:val="none" w:sz="0" w:space="0" w:color="auto"/>
          </w:divBdr>
        </w:div>
        <w:div w:id="1675182706">
          <w:marLeft w:val="0"/>
          <w:marRight w:val="0"/>
          <w:marTop w:val="0"/>
          <w:marBottom w:val="0"/>
          <w:divBdr>
            <w:top w:val="none" w:sz="0" w:space="0" w:color="auto"/>
            <w:left w:val="none" w:sz="0" w:space="0" w:color="auto"/>
            <w:bottom w:val="none" w:sz="0" w:space="0" w:color="auto"/>
            <w:right w:val="none" w:sz="0" w:space="0" w:color="auto"/>
          </w:divBdr>
        </w:div>
        <w:div w:id="434255559">
          <w:marLeft w:val="0"/>
          <w:marRight w:val="0"/>
          <w:marTop w:val="0"/>
          <w:marBottom w:val="0"/>
          <w:divBdr>
            <w:top w:val="none" w:sz="0" w:space="0" w:color="auto"/>
            <w:left w:val="none" w:sz="0" w:space="0" w:color="auto"/>
            <w:bottom w:val="none" w:sz="0" w:space="0" w:color="auto"/>
            <w:right w:val="none" w:sz="0" w:space="0" w:color="auto"/>
          </w:divBdr>
        </w:div>
        <w:div w:id="357777864">
          <w:marLeft w:val="0"/>
          <w:marRight w:val="0"/>
          <w:marTop w:val="0"/>
          <w:marBottom w:val="0"/>
          <w:divBdr>
            <w:top w:val="none" w:sz="0" w:space="0" w:color="auto"/>
            <w:left w:val="none" w:sz="0" w:space="0" w:color="auto"/>
            <w:bottom w:val="none" w:sz="0" w:space="0" w:color="auto"/>
            <w:right w:val="none" w:sz="0" w:space="0" w:color="auto"/>
          </w:divBdr>
        </w:div>
        <w:div w:id="880896199">
          <w:marLeft w:val="0"/>
          <w:marRight w:val="0"/>
          <w:marTop w:val="0"/>
          <w:marBottom w:val="0"/>
          <w:divBdr>
            <w:top w:val="none" w:sz="0" w:space="0" w:color="auto"/>
            <w:left w:val="none" w:sz="0" w:space="0" w:color="auto"/>
            <w:bottom w:val="none" w:sz="0" w:space="0" w:color="auto"/>
            <w:right w:val="none" w:sz="0" w:space="0" w:color="auto"/>
          </w:divBdr>
        </w:div>
      </w:divsChild>
    </w:div>
    <w:div w:id="12026730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mailto:sdunbar@keyesfox.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C9C93-1928-DA4D-9133-6C23D6B0E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1335</Words>
  <Characters>7506</Characters>
  <Application>Microsoft Office Word</Application>
  <DocSecurity>0</DocSecurity>
  <Lines>278</Lines>
  <Paragraphs>152</Paragraphs>
  <ScaleCrop>false</ScaleCrop>
  <HeadingPairs>
    <vt:vector size="2" baseType="variant">
      <vt:variant>
        <vt:lpstr>Title</vt:lpstr>
      </vt:variant>
      <vt:variant>
        <vt:i4>1</vt:i4>
      </vt:variant>
    </vt:vector>
  </HeadingPairs>
  <TitlesOfParts>
    <vt:vector size="1" baseType="lpstr">
      <vt:lpstr/>
    </vt:vector>
  </TitlesOfParts>
  <Company>Keyes &amp; Fox LLP</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Lindl</dc:creator>
  <cp:keywords/>
  <dc:description/>
  <cp:lastModifiedBy>Alicia Zaloga</cp:lastModifiedBy>
  <cp:revision>3</cp:revision>
  <cp:lastPrinted>2022-09-16T17:51:00Z</cp:lastPrinted>
  <dcterms:created xsi:type="dcterms:W3CDTF">2022-09-16T17:51:00Z</dcterms:created>
  <dcterms:modified xsi:type="dcterms:W3CDTF">2022-09-16T17:51:00Z</dcterms:modified>
</cp:coreProperties>
</file>